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5C704">
      <w:pPr>
        <w:pStyle w:val="6"/>
        <w:widowControl/>
        <w:rPr>
          <w:rFonts w:hint="eastAsia"/>
          <w:highlight w:val="none"/>
          <w:u w:val="none"/>
          <w:lang w:val="en-US" w:eastAsia="zh-CN"/>
        </w:rPr>
      </w:pPr>
      <w:r>
        <w:rPr>
          <w:rFonts w:hint="eastAsia"/>
          <w:highlight w:val="none"/>
          <w:u w:val="none"/>
          <w:lang w:val="en-US" w:eastAsia="zh-CN"/>
        </w:rPr>
        <w:t>遂宁市安居区滨江北路片区老旧小区改造项目(一期)/遂宁市安居区碧云兰溪、怡东花苑老旧小区附属配套基础设施改造项目(一期)/遂宁市安居区国贸阳光、水岸华府老旧小区附属配套基础设施改造项目(一期）</w:t>
      </w:r>
    </w:p>
    <w:p w14:paraId="22B9B7C8">
      <w:pPr>
        <w:pStyle w:val="6"/>
        <w:widowControl/>
        <w:rPr>
          <w:rFonts w:hint="eastAsia" w:eastAsia="黑体"/>
          <w:color w:val="auto"/>
          <w:highlight w:val="none"/>
          <w:lang w:eastAsia="zh-CN"/>
        </w:rPr>
      </w:pPr>
      <w:r>
        <w:rPr>
          <w:highlight w:val="none"/>
        </w:rPr>
        <w:t>劳务报价比选邀请函</w:t>
      </w:r>
      <w:r>
        <w:rPr>
          <w:rFonts w:hint="eastAsia"/>
          <w:highlight w:val="none"/>
          <w:lang w:eastAsia="zh-CN"/>
        </w:rPr>
        <w:t>（</w:t>
      </w:r>
      <w:r>
        <w:rPr>
          <w:rFonts w:hint="eastAsia"/>
          <w:highlight w:val="none"/>
          <w:lang w:val="en-US" w:eastAsia="zh-CN"/>
        </w:rPr>
        <w:t>第二次</w:t>
      </w:r>
      <w:r>
        <w:rPr>
          <w:rFonts w:hint="eastAsia"/>
          <w:highlight w:val="none"/>
          <w:lang w:eastAsia="zh-CN"/>
        </w:rPr>
        <w:t>）</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遂宁市安居区滨江北路片区老旧小区改造项目(一期)/遂宁市安居区碧云兰溪、怡东花苑老旧小区附属配套基础设施改造项目(一期)/遂宁市安居区国贸阳光、水岸华府老旧小区附属配套基础设施改造项目(一期）</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color w:val="auto"/>
          <w:highlight w:val="yellow"/>
          <w:lang w:val="en-US" w:eastAsia="zh-CN"/>
        </w:rPr>
        <w:t>对安居区城市生活污水处理厂、拦江镇污水处理厂等12座日处理规模21570立方米/日的污水处理厂（站）设施设备及一体化处理装置进行更新改造提升，优化污水厂中控系统及相关设备、更新监测设施，确保出水标准达到《城镇污水处理厂污染物排放标准》（GB18918-2002）-级A标。</w:t>
      </w:r>
    </w:p>
    <w:p w14:paraId="242591AF">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3B85238F">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cs="Times New Roman"/>
          <w:kern w:val="0"/>
          <w:sz w:val="24"/>
          <w:highlight w:val="yellow"/>
          <w:lang w:val="en-US" w:eastAsia="zh-CN"/>
        </w:rPr>
      </w:pPr>
      <w:r>
        <w:rPr>
          <w:rFonts w:hint="eastAsia" w:cs="Times New Roman"/>
          <w:kern w:val="0"/>
          <w:sz w:val="24"/>
          <w:highlight w:val="yellow"/>
          <w:lang w:val="en-US" w:eastAsia="zh-CN"/>
        </w:rPr>
        <w:t>遂宁市安居区滨江北路片区老旧小区改造项目(一期)/遂宁市安居区碧云兰溪、怡东花苑老旧小区附属配套基础设施改造项目(一期)/遂宁市安居区国贸阳光、水岸华府老旧小区附属配套基础设施改造项目(一期）</w:t>
      </w:r>
      <w:r>
        <w:rPr>
          <w:rFonts w:hint="eastAsia" w:ascii="Times New Roman" w:hAnsi="Times New Roman" w:eastAsia="宋体" w:cs="Times New Roman"/>
          <w:kern w:val="0"/>
          <w:sz w:val="24"/>
          <w:highlight w:val="yellow"/>
          <w:lang w:val="en-US" w:eastAsia="zh-CN"/>
        </w:rPr>
        <w:t>共计</w:t>
      </w:r>
      <w:r>
        <w:rPr>
          <w:rFonts w:hint="eastAsia" w:cs="Times New Roman"/>
          <w:kern w:val="0"/>
          <w:sz w:val="24"/>
          <w:highlight w:val="yellow"/>
          <w:lang w:val="en-US" w:eastAsia="zh-CN"/>
        </w:rPr>
        <w:t>两</w:t>
      </w:r>
      <w:r>
        <w:rPr>
          <w:rFonts w:hint="eastAsia" w:ascii="Times New Roman" w:hAnsi="Times New Roman" w:eastAsia="宋体" w:cs="Times New Roman"/>
          <w:kern w:val="0"/>
          <w:sz w:val="24"/>
          <w:highlight w:val="yellow"/>
          <w:lang w:val="en-US" w:eastAsia="zh-CN"/>
        </w:rPr>
        <w:t>个标段</w:t>
      </w:r>
      <w:r>
        <w:rPr>
          <w:rFonts w:hint="eastAsia" w:cs="Times New Roman"/>
          <w:kern w:val="0"/>
          <w:sz w:val="24"/>
          <w:highlight w:val="yellow"/>
          <w:lang w:val="en-US" w:eastAsia="zh-CN"/>
        </w:rPr>
        <w:t>招2个劳务：</w:t>
      </w:r>
    </w:p>
    <w:p w14:paraId="7F0A4C14">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cs="Times New Roman"/>
          <w:kern w:val="0"/>
          <w:sz w:val="24"/>
          <w:highlight w:val="yellow"/>
          <w:lang w:val="en-US" w:eastAsia="zh-CN"/>
        </w:rPr>
      </w:pPr>
      <w:r>
        <w:rPr>
          <w:rFonts w:hint="eastAsia" w:cs="Times New Roman"/>
          <w:kern w:val="0"/>
          <w:sz w:val="24"/>
          <w:highlight w:val="yellow"/>
          <w:lang w:val="en-US" w:eastAsia="zh-CN"/>
        </w:rPr>
        <w:t>①</w:t>
      </w:r>
      <w:r>
        <w:rPr>
          <w:rFonts w:hint="eastAsia" w:ascii="Times New Roman" w:hAnsi="Times New Roman" w:eastAsia="宋体" w:cs="Times New Roman"/>
          <w:kern w:val="0"/>
          <w:sz w:val="24"/>
          <w:highlight w:val="yellow"/>
          <w:lang w:val="en-US" w:eastAsia="zh-CN"/>
        </w:rPr>
        <w:t>1标段-遂宁市安居区怡东花苑老旧小区附属配套基础设施改造项目（一期）、遂宁市安居区国贸阳光老旧小区附属配套基础设施改造项目（一期）</w:t>
      </w:r>
    </w:p>
    <w:p w14:paraId="2A707877">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cs="Times New Roman"/>
          <w:kern w:val="0"/>
          <w:sz w:val="24"/>
          <w:highlight w:val="yellow"/>
          <w:lang w:val="en-US" w:eastAsia="zh-CN"/>
        </w:rPr>
      </w:pPr>
      <w:r>
        <w:rPr>
          <w:rFonts w:hint="eastAsia" w:cs="Times New Roman"/>
          <w:kern w:val="0"/>
          <w:sz w:val="24"/>
          <w:highlight w:val="yellow"/>
          <w:lang w:val="en-US" w:eastAsia="zh-CN"/>
        </w:rPr>
        <w:t>②2标段-遂宁市安居区碧云兰溪老旧小区附属配套基础设施改造项目（一期）、遂宁市安居区水岸华府老旧小区附属配套基础设施改造项目（一期）。</w:t>
      </w:r>
    </w:p>
    <w:p w14:paraId="6BE1E652">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kern w:val="0"/>
          <w:sz w:val="24"/>
          <w:highlight w:val="yellow"/>
          <w:lang w:val="en-US" w:eastAsia="zh-CN"/>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05350E8C">
      <w:pPr>
        <w:pStyle w:val="2"/>
        <w:widowControl/>
        <w:numPr>
          <w:ilvl w:val="0"/>
          <w:numId w:val="3"/>
        </w:numPr>
        <w:ind w:left="0" w:leftChars="0" w:firstLine="480" w:firstLineChars="0"/>
        <w:rPr>
          <w:b w:val="0"/>
          <w:color w:val="auto"/>
          <w:highlight w:val="none"/>
        </w:rPr>
      </w:pPr>
      <w:r>
        <w:rPr>
          <w:color w:val="auto"/>
          <w:highlight w:val="none"/>
        </w:rPr>
        <w:t>资质要求：</w:t>
      </w:r>
    </w:p>
    <w:p w14:paraId="724E6D9B">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2C4F8C92">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2"/>
        <w:rPr>
          <w:color w:val="auto"/>
          <w:highlight w:val="none"/>
        </w:rPr>
      </w:pPr>
      <w:r>
        <w:rPr>
          <w:color w:val="auto"/>
          <w:highlight w:val="yellow"/>
          <w:u w:val="none"/>
        </w:rPr>
        <w:t>以清单总价报下浮</w:t>
      </w:r>
      <w:r>
        <w:rPr>
          <w:color w:val="auto"/>
          <w:highlight w:val="yellow"/>
        </w:rPr>
        <w:t>比例（详附件4），下浮率应高于1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0A5D4B78">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75C420">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9F80E60">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1B4B3A3E">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14</w:t>
      </w:r>
      <w:r>
        <w:rPr>
          <w:rFonts w:hint="eastAsia" w:cs="Times New Roman"/>
          <w:color w:val="auto"/>
          <w:highlight w:val="yellow"/>
          <w:lang w:eastAsia="zh-CN"/>
        </w:rPr>
        <w:t>：</w:t>
      </w:r>
      <w:r>
        <w:rPr>
          <w:rFonts w:hint="eastAsia" w:cs="Times New Roman"/>
          <w:color w:val="auto"/>
          <w:highlight w:val="yellow"/>
          <w:lang w:val="en-US" w:eastAsia="zh-CN"/>
        </w:rPr>
        <w:t>40</w:t>
      </w:r>
      <w:r>
        <w:rPr>
          <w:rFonts w:ascii="Times New Roman" w:hAnsi="Times New Roman" w:eastAsia="宋体" w:cs="Times New Roman"/>
          <w:color w:val="auto"/>
          <w:highlight w:val="yellow"/>
        </w:rPr>
        <w:t>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14</w:t>
      </w:r>
      <w:r>
        <w:rPr>
          <w:rFonts w:hint="eastAsia" w:cs="Times New Roman"/>
          <w:color w:val="auto"/>
          <w:highlight w:val="yellow"/>
          <w:lang w:eastAsia="zh-CN"/>
        </w:rPr>
        <w:t>：</w:t>
      </w:r>
      <w:r>
        <w:rPr>
          <w:rFonts w:hint="eastAsia" w:cs="Times New Roman"/>
          <w:color w:val="auto"/>
          <w:highlight w:val="yellow"/>
          <w:lang w:val="en-US" w:eastAsia="zh-CN"/>
        </w:rPr>
        <w:t>40</w:t>
      </w:r>
      <w:r>
        <w:rPr>
          <w:rFonts w:ascii="Times New Roman" w:hAnsi="Times New Roman" w:eastAsia="宋体" w:cs="Times New Roman"/>
          <w:color w:val="auto"/>
          <w:highlight w:val="none"/>
        </w:rPr>
        <w:t>在鹏安公司会议室统一拆封所有报价资料，报价单位必须到场参加。未现场递交或逾期递交视为</w:t>
      </w:r>
      <w:bookmarkStart w:id="0" w:name="_GoBack"/>
      <w:bookmarkEnd w:id="0"/>
      <w:r>
        <w:rPr>
          <w:rFonts w:ascii="Times New Roman" w:hAnsi="Times New Roman" w:eastAsia="宋体" w:cs="Times New Roman"/>
          <w:color w:val="auto"/>
          <w:highlight w:val="none"/>
        </w:rPr>
        <w:t>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553487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0"/>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1"/>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7"/>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2"/>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2"/>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E129694">
            <w:pPr>
              <w:pStyle w:val="13"/>
              <w:spacing w:line="480" w:lineRule="auto"/>
              <w:jc w:val="center"/>
              <w:rPr>
                <w:rStyle w:val="12"/>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C4B124B">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F8936A3">
            <w:pPr>
              <w:pStyle w:val="13"/>
              <w:spacing w:line="480" w:lineRule="auto"/>
              <w:jc w:val="center"/>
              <w:rPr>
                <w:rStyle w:val="12"/>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F2C9634">
            <w:pPr>
              <w:pStyle w:val="13"/>
              <w:spacing w:line="480" w:lineRule="auto"/>
              <w:jc w:val="center"/>
              <w:rPr>
                <w:rStyle w:val="12"/>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CE05DE">
            <w:pPr>
              <w:pStyle w:val="13"/>
              <w:spacing w:line="480" w:lineRule="auto"/>
              <w:jc w:val="center"/>
              <w:rPr>
                <w:rStyle w:val="12"/>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A12285C">
            <w:pPr>
              <w:pStyle w:val="13"/>
              <w:spacing w:line="480" w:lineRule="auto"/>
              <w:jc w:val="center"/>
              <w:rPr>
                <w:rStyle w:val="12"/>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19CC71">
            <w:pPr>
              <w:pStyle w:val="13"/>
              <w:spacing w:line="480" w:lineRule="auto"/>
              <w:jc w:val="center"/>
              <w:rPr>
                <w:rStyle w:val="12"/>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6FA66BC">
            <w:pPr>
              <w:pStyle w:val="13"/>
              <w:spacing w:line="480" w:lineRule="auto"/>
              <w:jc w:val="center"/>
              <w:rPr>
                <w:rStyle w:val="12"/>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006D864">
            <w:pPr>
              <w:pStyle w:val="13"/>
              <w:spacing w:line="480" w:lineRule="auto"/>
              <w:jc w:val="center"/>
              <w:rPr>
                <w:rStyle w:val="12"/>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967CCE5">
            <w:pPr>
              <w:pStyle w:val="13"/>
              <w:spacing w:line="480" w:lineRule="auto"/>
              <w:jc w:val="center"/>
              <w:rPr>
                <w:rStyle w:val="12"/>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1207F6B">
            <w:pPr>
              <w:pStyle w:val="13"/>
              <w:spacing w:line="480" w:lineRule="auto"/>
              <w:jc w:val="center"/>
              <w:rPr>
                <w:rStyle w:val="12"/>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A87B6F1">
            <w:pPr>
              <w:pStyle w:val="13"/>
              <w:spacing w:line="480" w:lineRule="auto"/>
              <w:jc w:val="center"/>
              <w:rPr>
                <w:rStyle w:val="12"/>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2D96C2E4">
            <w:pPr>
              <w:pStyle w:val="13"/>
              <w:spacing w:line="480" w:lineRule="auto"/>
              <w:jc w:val="center"/>
              <w:rPr>
                <w:rStyle w:val="12"/>
                <w:rFonts w:hint="eastAsia" w:ascii="宋体" w:hAnsi="宋体" w:eastAsia="宋体" w:cs="宋体"/>
                <w:color w:val="auto"/>
                <w:sz w:val="24"/>
                <w:szCs w:val="24"/>
                <w:highlight w:val="none"/>
              </w:rPr>
            </w:pPr>
          </w:p>
        </w:tc>
      </w:tr>
    </w:tbl>
    <w:p w14:paraId="114CC420">
      <w:pPr>
        <w:pStyle w:val="7"/>
        <w:rPr>
          <w:rFonts w:hint="eastAsia" w:ascii="宋体" w:hAnsi="宋体" w:eastAsia="宋体" w:cs="宋体"/>
          <w:b/>
          <w:bCs/>
          <w:color w:val="auto"/>
          <w:sz w:val="24"/>
          <w:szCs w:val="24"/>
          <w:highlight w:val="none"/>
          <w:lang w:val="en-US" w:eastAsia="zh-CN"/>
        </w:rPr>
      </w:pPr>
    </w:p>
    <w:p w14:paraId="1C95FA63">
      <w:pPr>
        <w:pStyle w:val="7"/>
        <w:rPr>
          <w:rFonts w:hint="eastAsia" w:ascii="宋体" w:hAnsi="宋体" w:eastAsia="宋体" w:cs="宋体"/>
          <w:b/>
          <w:bCs/>
          <w:color w:val="auto"/>
          <w:sz w:val="24"/>
          <w:szCs w:val="24"/>
          <w:highlight w:val="none"/>
          <w:lang w:val="en-US" w:eastAsia="zh-CN"/>
        </w:rPr>
      </w:pPr>
    </w:p>
    <w:p w14:paraId="7B0DA25B">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5BDBAF7C">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lang w:eastAsia="zh-CN"/>
        </w:rPr>
        <w:t>遂宁市安居区滨江北路片区老旧小区改造项目(一期)/遂宁市安居区碧云兰溪、怡东花苑老旧小区附属配套基础设施改造项目(一期)/遂宁市安居区国贸阳光、水岸华府老旧小区附属配套基础设施改造项目(一期）</w:t>
      </w:r>
      <w:r>
        <w:rPr>
          <w:u w:val="single"/>
        </w:rPr>
        <w:t xml:space="preserve">  </w:t>
      </w:r>
      <w:r>
        <w:t>项目劳务分包项目报价表</w:t>
      </w:r>
      <w:r>
        <w:rPr>
          <w:rFonts w:hint="eastAsia"/>
          <w:highlight w:val="none"/>
          <w:lang w:eastAsia="zh-CN"/>
        </w:rPr>
        <w:t>（</w:t>
      </w:r>
      <w:r>
        <w:rPr>
          <w:rFonts w:hint="eastAsia"/>
          <w:highlight w:val="none"/>
          <w:lang w:val="en-US" w:eastAsia="zh-CN"/>
        </w:rPr>
        <w:t>第二次</w:t>
      </w:r>
      <w:r>
        <w:rPr>
          <w:rFonts w:hint="eastAsia"/>
          <w:highlight w:val="none"/>
          <w:lang w:eastAsia="zh-CN"/>
        </w:rPr>
        <w:t>）</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4904FA7"/>
    <w:rsid w:val="049F168E"/>
    <w:rsid w:val="054F4E62"/>
    <w:rsid w:val="08AE6343"/>
    <w:rsid w:val="09111F90"/>
    <w:rsid w:val="0AF261CB"/>
    <w:rsid w:val="0B301291"/>
    <w:rsid w:val="0BDF05C2"/>
    <w:rsid w:val="0C3B7EEE"/>
    <w:rsid w:val="0CE9794A"/>
    <w:rsid w:val="0D25269D"/>
    <w:rsid w:val="0E682AF0"/>
    <w:rsid w:val="153F4C73"/>
    <w:rsid w:val="15512590"/>
    <w:rsid w:val="155700D2"/>
    <w:rsid w:val="156B0BFC"/>
    <w:rsid w:val="17E4768B"/>
    <w:rsid w:val="187A1D9E"/>
    <w:rsid w:val="1954439D"/>
    <w:rsid w:val="1B2304CB"/>
    <w:rsid w:val="1BE7774A"/>
    <w:rsid w:val="1D1C3424"/>
    <w:rsid w:val="1E8A6C20"/>
    <w:rsid w:val="1F2B2044"/>
    <w:rsid w:val="20AC0F62"/>
    <w:rsid w:val="20D81D57"/>
    <w:rsid w:val="217E5E92"/>
    <w:rsid w:val="24CE0F21"/>
    <w:rsid w:val="26C37006"/>
    <w:rsid w:val="276A7481"/>
    <w:rsid w:val="27E5541C"/>
    <w:rsid w:val="28D20310"/>
    <w:rsid w:val="2A0E0598"/>
    <w:rsid w:val="2A50113D"/>
    <w:rsid w:val="2C210A56"/>
    <w:rsid w:val="2C35678D"/>
    <w:rsid w:val="2CF91A3F"/>
    <w:rsid w:val="2D1C4D7A"/>
    <w:rsid w:val="2D5A2500"/>
    <w:rsid w:val="2E5A0250"/>
    <w:rsid w:val="2FCC6F2B"/>
    <w:rsid w:val="30161F54"/>
    <w:rsid w:val="30ED2E37"/>
    <w:rsid w:val="32987598"/>
    <w:rsid w:val="32E242A8"/>
    <w:rsid w:val="34E16FD5"/>
    <w:rsid w:val="36557DE0"/>
    <w:rsid w:val="37D018E8"/>
    <w:rsid w:val="385C6972"/>
    <w:rsid w:val="38657F1D"/>
    <w:rsid w:val="39777F08"/>
    <w:rsid w:val="3B365BA1"/>
    <w:rsid w:val="3B381919"/>
    <w:rsid w:val="3EB2553E"/>
    <w:rsid w:val="3F037A8F"/>
    <w:rsid w:val="402B1A4C"/>
    <w:rsid w:val="42244224"/>
    <w:rsid w:val="43E2516D"/>
    <w:rsid w:val="466E4440"/>
    <w:rsid w:val="47CD33E9"/>
    <w:rsid w:val="480A63EB"/>
    <w:rsid w:val="4ACA3C0F"/>
    <w:rsid w:val="4C0D0DB0"/>
    <w:rsid w:val="4E6F51FA"/>
    <w:rsid w:val="4EB26E94"/>
    <w:rsid w:val="4F511E31"/>
    <w:rsid w:val="4FA42C81"/>
    <w:rsid w:val="4FE13ED5"/>
    <w:rsid w:val="50F639B0"/>
    <w:rsid w:val="515801C7"/>
    <w:rsid w:val="515E4352"/>
    <w:rsid w:val="522D172B"/>
    <w:rsid w:val="529C68B6"/>
    <w:rsid w:val="54FC530D"/>
    <w:rsid w:val="55807CEC"/>
    <w:rsid w:val="55CF657E"/>
    <w:rsid w:val="5BC76675"/>
    <w:rsid w:val="5C0E6052"/>
    <w:rsid w:val="5C427AAA"/>
    <w:rsid w:val="5D1D4073"/>
    <w:rsid w:val="5D1E16B4"/>
    <w:rsid w:val="5EEE216B"/>
    <w:rsid w:val="5FAB3BB8"/>
    <w:rsid w:val="61C55544"/>
    <w:rsid w:val="622C2343"/>
    <w:rsid w:val="64852BFC"/>
    <w:rsid w:val="65D26342"/>
    <w:rsid w:val="660D4C01"/>
    <w:rsid w:val="6A1D1B56"/>
    <w:rsid w:val="6AA06A0F"/>
    <w:rsid w:val="6B621F16"/>
    <w:rsid w:val="6C152874"/>
    <w:rsid w:val="6DB85E1E"/>
    <w:rsid w:val="6EE40E94"/>
    <w:rsid w:val="6F7B2807"/>
    <w:rsid w:val="71AD7C63"/>
    <w:rsid w:val="722515A8"/>
    <w:rsid w:val="72F0059F"/>
    <w:rsid w:val="738148F5"/>
    <w:rsid w:val="73B01345"/>
    <w:rsid w:val="74480A84"/>
    <w:rsid w:val="74AB66DC"/>
    <w:rsid w:val="74C27582"/>
    <w:rsid w:val="774424D0"/>
    <w:rsid w:val="77577B1B"/>
    <w:rsid w:val="79416DF5"/>
    <w:rsid w:val="7A0128FA"/>
    <w:rsid w:val="7A721A4A"/>
    <w:rsid w:val="7A7632E8"/>
    <w:rsid w:val="7A94376E"/>
    <w:rsid w:val="7B7D06A6"/>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3721</Words>
  <Characters>3831</Characters>
  <Lines>0</Lines>
  <Paragraphs>0</Paragraphs>
  <TotalTime>2</TotalTime>
  <ScaleCrop>false</ScaleCrop>
  <LinksUpToDate>false</LinksUpToDate>
  <CharactersWithSpaces>4467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2025-02-19T04:54:00Z</cp:lastPrinted>
  <dcterms:modified xsi:type="dcterms:W3CDTF">2025-02-19T06:32:06Z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eyJoZGlkIjoiYWFiOTY1ZGZjYzlhZWFmMjRiMGFhMDMzYWY1MTNkZTkiLCJ1c2VySWQiOiIzOTA2MDMxNDQifQ==</vt:lpwstr>
  </property>
</Properties>
</file>