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3FA7F3">
      <w:pPr>
        <w:pStyle w:val="8"/>
        <w:widowControl/>
        <w:rPr>
          <w:rFonts w:hint="eastAsia"/>
          <w:highlight w:val="none"/>
          <w:u w:val="none"/>
          <w:lang w:val="en-US" w:eastAsia="zh-CN"/>
        </w:rPr>
      </w:pPr>
      <w:r>
        <w:rPr>
          <w:rFonts w:hint="eastAsia"/>
          <w:highlight w:val="none"/>
          <w:lang w:val="en-US" w:eastAsia="zh-CN"/>
        </w:rPr>
        <w:t>遂宁市安居区冷链物流中心及配套设施建设项目劳务工程报价比选邀请函</w:t>
      </w:r>
    </w:p>
    <w:p w14:paraId="22B9B7C8">
      <w:pPr>
        <w:pStyle w:val="8"/>
        <w:widowControl/>
        <w:rPr>
          <w:rFonts w:hint="eastAsia" w:eastAsia="黑体"/>
          <w:color w:val="auto"/>
          <w:highlight w:val="none"/>
          <w:lang w:val="en-US" w:eastAsia="zh-CN"/>
        </w:rPr>
      </w:pPr>
      <w:r>
        <w:rPr>
          <w:color w:val="auto"/>
          <w:highlight w:val="none"/>
        </w:rPr>
        <w:t xml:space="preserve"> </w:t>
      </w:r>
    </w:p>
    <w:p w14:paraId="4BF337CF">
      <w:pPr>
        <w:pStyle w:val="5"/>
        <w:keepNext w:val="0"/>
        <w:keepLines w:val="0"/>
        <w:pageBreakBefore w:val="0"/>
        <w:kinsoku/>
        <w:wordWrap/>
        <w:overflowPunct/>
        <w:topLinePunct w:val="0"/>
        <w:autoSpaceDE/>
        <w:autoSpaceDN/>
        <w:bidi w:val="0"/>
        <w:adjustRightInd/>
        <w:snapToGrid/>
        <w:spacing w:after="0" w:line="360" w:lineRule="auto"/>
        <w:ind w:left="0" w:leftChars="0" w:firstLine="0" w:firstLineChars="0"/>
        <w:jc w:val="left"/>
        <w:rPr>
          <w:rFonts w:hint="eastAsia"/>
          <w:color w:val="auto"/>
          <w:highlight w:val="none"/>
          <w:u w:val="none"/>
          <w:lang w:eastAsia="zh-CN"/>
        </w:rPr>
      </w:pPr>
      <w:r>
        <w:rPr>
          <w:color w:val="auto"/>
          <w:highlight w:val="none"/>
          <w:u w:val="none"/>
        </w:rPr>
        <w:t>各</w:t>
      </w:r>
      <w:r>
        <w:rPr>
          <w:rFonts w:hint="eastAsia"/>
          <w:color w:val="auto"/>
          <w:highlight w:val="none"/>
          <w:u w:val="none"/>
          <w:lang w:val="en-US" w:eastAsia="zh-CN"/>
        </w:rPr>
        <w:t>库内</w:t>
      </w:r>
      <w:r>
        <w:rPr>
          <w:color w:val="auto"/>
          <w:highlight w:val="none"/>
          <w:u w:val="none"/>
        </w:rPr>
        <w:t>劳务单位</w:t>
      </w:r>
      <w:r>
        <w:rPr>
          <w:rFonts w:hint="eastAsia"/>
          <w:color w:val="auto"/>
          <w:highlight w:val="none"/>
          <w:u w:val="none"/>
          <w:lang w:eastAsia="zh-CN"/>
        </w:rPr>
        <w:t>：</w:t>
      </w:r>
    </w:p>
    <w:p w14:paraId="1D3F2DE7">
      <w:pPr>
        <w:pStyle w:val="5"/>
        <w:keepNext w:val="0"/>
        <w:keepLines w:val="0"/>
        <w:pageBreakBefore w:val="0"/>
        <w:kinsoku/>
        <w:wordWrap/>
        <w:overflowPunct/>
        <w:topLinePunct w:val="0"/>
        <w:autoSpaceDE/>
        <w:autoSpaceDN/>
        <w:bidi w:val="0"/>
        <w:adjustRightInd/>
        <w:snapToGrid/>
        <w:spacing w:line="360" w:lineRule="auto"/>
        <w:ind w:firstLine="480" w:firstLineChars="200"/>
        <w:rPr>
          <w:color w:val="auto"/>
          <w:highlight w:val="none"/>
        </w:rPr>
      </w:pPr>
      <w:r>
        <w:rPr>
          <w:color w:val="auto"/>
          <w:highlight w:val="none"/>
        </w:rPr>
        <w:t>由我司</w:t>
      </w:r>
      <w:r>
        <w:rPr>
          <w:rFonts w:hint="eastAsia"/>
          <w:color w:val="auto"/>
          <w:highlight w:val="none"/>
          <w:lang w:val="en-US" w:eastAsia="zh-CN"/>
        </w:rPr>
        <w:t>施工承建</w:t>
      </w:r>
      <w:r>
        <w:rPr>
          <w:color w:val="auto"/>
          <w:highlight w:val="none"/>
        </w:rPr>
        <w:t>的</w:t>
      </w:r>
      <w:r>
        <w:rPr>
          <w:rFonts w:hint="eastAsia"/>
          <w:color w:val="auto"/>
          <w:highlight w:val="none"/>
          <w:u w:val="single"/>
          <w:lang w:val="en-US" w:eastAsia="zh-CN"/>
        </w:rPr>
        <w:t>遂宁市安居区冷链物流中心及配套设施建设项目</w:t>
      </w:r>
      <w:r>
        <w:rPr>
          <w:color w:val="auto"/>
          <w:highlight w:val="none"/>
        </w:rPr>
        <w:t>，现根据施工需要，对本项目工程进行</w:t>
      </w:r>
      <w:r>
        <w:rPr>
          <w:rFonts w:hint="eastAsia"/>
          <w:color w:val="auto"/>
          <w:highlight w:val="none"/>
          <w:u w:val="single"/>
          <w:lang w:val="en-US" w:eastAsia="zh-CN"/>
        </w:rPr>
        <w:t>劳务</w:t>
      </w:r>
      <w:r>
        <w:rPr>
          <w:color w:val="auto"/>
          <w:highlight w:val="none"/>
        </w:rPr>
        <w:t>分包，现诚邀遂宁市鹏安投资有限</w:t>
      </w:r>
      <w:r>
        <w:rPr>
          <w:rFonts w:hint="eastAsia"/>
          <w:color w:val="auto"/>
          <w:highlight w:val="none"/>
          <w:lang w:val="en-US" w:eastAsia="zh-CN"/>
        </w:rPr>
        <w:t>公司各</w:t>
      </w:r>
      <w:r>
        <w:rPr>
          <w:rFonts w:hint="eastAsia"/>
          <w:color w:val="auto"/>
          <w:highlight w:val="none"/>
          <w:u w:val="none"/>
          <w:lang w:val="en-US" w:eastAsia="zh-CN"/>
        </w:rPr>
        <w:t>库内</w:t>
      </w:r>
      <w:r>
        <w:rPr>
          <w:color w:val="auto"/>
          <w:highlight w:val="none"/>
          <w:u w:val="none"/>
        </w:rPr>
        <w:t>劳务单位</w:t>
      </w:r>
      <w:r>
        <w:rPr>
          <w:color w:val="auto"/>
          <w:highlight w:val="none"/>
        </w:rPr>
        <w:t>进行报价，具体要求及报价表格式如下：</w:t>
      </w:r>
    </w:p>
    <w:p w14:paraId="2FE53B39">
      <w:pPr>
        <w:pStyle w:val="3"/>
        <w:keepNext w:val="0"/>
        <w:keepLines w:val="0"/>
        <w:pageBreakBefore w:val="0"/>
        <w:numPr>
          <w:ilvl w:val="0"/>
          <w:numId w:val="1"/>
        </w:numPr>
        <w:kinsoku/>
        <w:wordWrap/>
        <w:overflowPunct/>
        <w:topLinePunct w:val="0"/>
        <w:autoSpaceDE/>
        <w:autoSpaceDN/>
        <w:bidi w:val="0"/>
        <w:adjustRightInd/>
        <w:snapToGrid/>
        <w:spacing w:line="360" w:lineRule="auto"/>
        <w:ind w:left="0" w:leftChars="0" w:firstLine="482" w:firstLineChars="200"/>
        <w:rPr>
          <w:b/>
          <w:color w:val="auto"/>
          <w:highlight w:val="none"/>
        </w:rPr>
      </w:pPr>
      <w:r>
        <w:rPr>
          <w:color w:val="auto"/>
          <w:highlight w:val="none"/>
        </w:rPr>
        <w:t>招标基本情况及范围</w:t>
      </w:r>
    </w:p>
    <w:p w14:paraId="0C2ABE93">
      <w:pPr>
        <w:pStyle w:val="5"/>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rPr>
          <w:rFonts w:hint="eastAsia" w:cs="Times New Roman"/>
          <w:color w:val="auto"/>
          <w:kern w:val="0"/>
          <w:sz w:val="24"/>
          <w:highlight w:val="none"/>
          <w:lang w:val="en-US" w:eastAsia="zh-CN"/>
        </w:rPr>
      </w:pPr>
      <w:r>
        <w:rPr>
          <w:rFonts w:hint="eastAsia"/>
          <w:color w:val="auto"/>
          <w:highlight w:val="none"/>
          <w:lang w:val="en-US" w:eastAsia="zh-CN"/>
        </w:rPr>
        <w:t>工程概况：新建2栋综合调度中心、2栋冷链物流中心、1栋分拣中心，3栋门卫室，停车位为53个。</w:t>
      </w:r>
    </w:p>
    <w:p w14:paraId="242591AF">
      <w:pPr>
        <w:pStyle w:val="5"/>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rPr>
          <w:rFonts w:hint="eastAsia" w:cs="Times New Roman"/>
          <w:color w:val="auto"/>
          <w:kern w:val="0"/>
          <w:sz w:val="24"/>
          <w:highlight w:val="none"/>
          <w:lang w:val="en-US" w:eastAsia="zh-CN"/>
        </w:rPr>
      </w:pPr>
      <w:r>
        <w:rPr>
          <w:rFonts w:hint="eastAsia" w:cs="Times New Roman"/>
          <w:color w:val="auto"/>
          <w:kern w:val="0"/>
          <w:sz w:val="24"/>
          <w:highlight w:val="none"/>
          <w:lang w:val="en-US" w:eastAsia="zh-CN"/>
        </w:rPr>
        <w:t>招标范围：</w:t>
      </w:r>
    </w:p>
    <w:p w14:paraId="2E7C72D9">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kern w:val="0"/>
          <w:sz w:val="24"/>
          <w:highlight w:val="none"/>
          <w:lang w:val="en-US"/>
        </w:rPr>
      </w:pPr>
      <w:r>
        <w:rPr>
          <w:rFonts w:hint="eastAsia" w:cs="Times New Roman"/>
          <w:color w:val="auto"/>
          <w:kern w:val="2"/>
          <w:sz w:val="24"/>
          <w:highlight w:val="none"/>
          <w:lang w:val="en-US" w:eastAsia="zh-CN" w:bidi="ar-SA"/>
        </w:rPr>
        <w:t>遂宁市安居区冷链物流中心及配套设施建设项目土建</w:t>
      </w:r>
      <w:r>
        <w:rPr>
          <w:rFonts w:hint="eastAsia" w:ascii="Times New Roman" w:hAnsi="Times New Roman" w:eastAsia="宋体" w:cs="Times New Roman"/>
          <w:kern w:val="0"/>
          <w:sz w:val="24"/>
          <w:highlight w:val="none"/>
          <w:lang w:val="en-US" w:eastAsia="zh-CN"/>
        </w:rPr>
        <w:t>工程</w:t>
      </w:r>
      <w:r>
        <w:rPr>
          <w:rFonts w:hint="eastAsia" w:cs="Times New Roman"/>
          <w:kern w:val="0"/>
          <w:sz w:val="24"/>
          <w:highlight w:val="none"/>
          <w:lang w:val="en-US" w:eastAsia="zh-CN"/>
        </w:rPr>
        <w:t>，</w:t>
      </w:r>
      <w:r>
        <w:rPr>
          <w:rFonts w:hint="eastAsia" w:ascii="Times New Roman" w:hAnsi="Times New Roman" w:eastAsia="宋体" w:cs="Times New Roman"/>
          <w:kern w:val="0"/>
          <w:sz w:val="24"/>
          <w:highlight w:val="none"/>
          <w:lang w:val="en-US" w:eastAsia="zh-CN"/>
        </w:rPr>
        <w:t>包含</w:t>
      </w:r>
      <w:r>
        <w:rPr>
          <w:rFonts w:hint="eastAsia" w:cs="Times New Roman"/>
          <w:kern w:val="0"/>
          <w:sz w:val="24"/>
          <w:highlight w:val="none"/>
          <w:lang w:val="en-US" w:eastAsia="zh-CN"/>
        </w:rPr>
        <w:t>人工</w:t>
      </w:r>
      <w:r>
        <w:rPr>
          <w:rFonts w:hint="eastAsia" w:ascii="Times New Roman" w:hAnsi="Times New Roman" w:eastAsia="宋体" w:cs="Times New Roman"/>
          <w:kern w:val="0"/>
          <w:sz w:val="24"/>
          <w:highlight w:val="none"/>
          <w:lang w:val="en-US" w:eastAsia="zh-CN"/>
        </w:rPr>
        <w:t>、辅材、机械</w:t>
      </w:r>
      <w:r>
        <w:rPr>
          <w:rFonts w:hint="eastAsia" w:cs="Times New Roman"/>
          <w:kern w:val="0"/>
          <w:sz w:val="24"/>
          <w:highlight w:val="none"/>
          <w:lang w:val="en-US" w:eastAsia="zh-CN"/>
        </w:rPr>
        <w:t>（包括不仅限于塔吊、施工电梯、挖机、吊车、渣土车等机械）</w:t>
      </w:r>
      <w:r>
        <w:rPr>
          <w:rFonts w:hint="eastAsia" w:ascii="Times New Roman" w:hAnsi="Times New Roman" w:eastAsia="宋体" w:cs="Times New Roman"/>
          <w:kern w:val="0"/>
          <w:sz w:val="24"/>
          <w:highlight w:val="none"/>
          <w:lang w:val="en-US" w:eastAsia="zh-CN"/>
        </w:rPr>
        <w:t>、租赁</w:t>
      </w:r>
      <w:r>
        <w:rPr>
          <w:rFonts w:hint="eastAsia" w:cs="Times New Roman"/>
          <w:kern w:val="0"/>
          <w:sz w:val="24"/>
          <w:highlight w:val="none"/>
          <w:lang w:val="en-US" w:eastAsia="zh-CN"/>
        </w:rPr>
        <w:t>、管理费等</w:t>
      </w:r>
      <w:r>
        <w:rPr>
          <w:rFonts w:hint="eastAsia" w:ascii="Times New Roman" w:hAnsi="Times New Roman" w:eastAsia="宋体" w:cs="Times New Roman"/>
          <w:kern w:val="0"/>
          <w:sz w:val="24"/>
          <w:highlight w:val="none"/>
          <w:lang w:val="en-US" w:eastAsia="zh-CN"/>
        </w:rPr>
        <w:t>，具体内容详招标清单及图纸。</w:t>
      </w:r>
    </w:p>
    <w:p w14:paraId="3F2D31DB">
      <w:pPr>
        <w:pStyle w:val="3"/>
        <w:keepNext w:val="0"/>
        <w:keepLines w:val="0"/>
        <w:pageBreakBefore w:val="0"/>
        <w:widowControl/>
        <w:numPr>
          <w:ilvl w:val="0"/>
          <w:numId w:val="1"/>
        </w:numPr>
        <w:tabs>
          <w:tab w:val="center" w:pos="4153"/>
        </w:tabs>
        <w:kinsoku/>
        <w:wordWrap/>
        <w:overflowPunct/>
        <w:topLinePunct w:val="0"/>
        <w:autoSpaceDE/>
        <w:autoSpaceDN/>
        <w:bidi w:val="0"/>
        <w:adjustRightInd/>
        <w:snapToGrid/>
        <w:spacing w:line="360" w:lineRule="auto"/>
        <w:ind w:left="0" w:leftChars="0" w:firstLine="482" w:firstLineChars="200"/>
        <w:textAlignment w:val="auto"/>
        <w:rPr>
          <w:b/>
          <w:color w:val="auto"/>
          <w:highlight w:val="none"/>
        </w:rPr>
      </w:pPr>
      <w:r>
        <w:rPr>
          <w:rFonts w:hint="eastAsia"/>
          <w:color w:val="auto"/>
          <w:highlight w:val="none"/>
          <w:lang w:val="en-US" w:eastAsia="zh-CN"/>
        </w:rPr>
        <w:t>资质资质及报价</w:t>
      </w:r>
      <w:r>
        <w:rPr>
          <w:color w:val="auto"/>
          <w:highlight w:val="none"/>
        </w:rPr>
        <w:t>要求</w:t>
      </w:r>
      <w:r>
        <w:rPr>
          <w:rFonts w:hint="eastAsia"/>
          <w:color w:val="auto"/>
          <w:highlight w:val="none"/>
          <w:lang w:eastAsia="zh-CN"/>
        </w:rPr>
        <w:tab/>
      </w:r>
    </w:p>
    <w:p w14:paraId="5E9EA14E">
      <w:pPr>
        <w:pStyle w:val="5"/>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rPr>
          <w:b w:val="0"/>
          <w:color w:val="auto"/>
          <w:highlight w:val="none"/>
        </w:rPr>
      </w:pPr>
      <w:r>
        <w:rPr>
          <w:color w:val="auto"/>
          <w:highlight w:val="none"/>
        </w:rPr>
        <w:t>资质要求：</w:t>
      </w:r>
    </w:p>
    <w:p w14:paraId="4A31B7D6">
      <w:pPr>
        <w:pStyle w:val="5"/>
        <w:keepNext w:val="0"/>
        <w:keepLines w:val="0"/>
        <w:pageBreakBefore w:val="0"/>
        <w:widowControl/>
        <w:numPr>
          <w:ilvl w:val="0"/>
          <w:numId w:val="4"/>
        </w:numPr>
        <w:kinsoku/>
        <w:wordWrap/>
        <w:overflowPunct/>
        <w:topLinePunct w:val="0"/>
        <w:autoSpaceDE/>
        <w:autoSpaceDN/>
        <w:bidi w:val="0"/>
        <w:adjustRightInd/>
        <w:snapToGrid/>
        <w:spacing w:line="360" w:lineRule="auto"/>
        <w:ind w:left="0" w:leftChars="0" w:firstLine="480" w:firstLineChars="200"/>
        <w:rPr>
          <w:b w:val="0"/>
          <w:color w:val="auto"/>
          <w:highlight w:val="none"/>
        </w:rPr>
      </w:pPr>
      <w:r>
        <w:rPr>
          <w:color w:val="auto"/>
          <w:highlight w:val="none"/>
        </w:rPr>
        <w:t>投标人须具备独立企业法人资格</w:t>
      </w:r>
      <w:r>
        <w:rPr>
          <w:rFonts w:hint="eastAsia"/>
          <w:color w:val="auto"/>
          <w:highlight w:val="none"/>
          <w:lang w:eastAsia="zh-CN"/>
        </w:rPr>
        <w:t>，</w:t>
      </w:r>
      <w:r>
        <w:rPr>
          <w:color w:val="auto"/>
          <w:highlight w:val="none"/>
        </w:rPr>
        <w:t>投标单位必须为遂宁市鹏安投资有限公司库内</w:t>
      </w:r>
      <w:r>
        <w:rPr>
          <w:rFonts w:hint="eastAsia"/>
          <w:color w:val="auto"/>
          <w:highlight w:val="none"/>
          <w:lang w:val="en-US" w:eastAsia="zh-CN"/>
        </w:rPr>
        <w:t>劳务单位</w:t>
      </w:r>
      <w:r>
        <w:rPr>
          <w:color w:val="auto"/>
          <w:highlight w:val="none"/>
        </w:rPr>
        <w:t>。（不接受自然人参与本项目投标）</w:t>
      </w:r>
    </w:p>
    <w:p w14:paraId="45485425">
      <w:pPr>
        <w:pStyle w:val="5"/>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rPr>
          <w:b w:val="0"/>
          <w:color w:val="auto"/>
          <w:highlight w:val="none"/>
        </w:rPr>
      </w:pPr>
      <w:r>
        <w:rPr>
          <w:rFonts w:hint="eastAsia"/>
          <w:b/>
          <w:bCs/>
          <w:color w:val="auto"/>
          <w:highlight w:val="none"/>
          <w:lang w:val="en-US" w:eastAsia="zh-CN"/>
        </w:rPr>
        <w:t>注：投标单位在本公司100万以上的在建工程不得超过两个（超过两个投标视为无效）。</w:t>
      </w:r>
    </w:p>
    <w:p w14:paraId="7E2897CC">
      <w:pPr>
        <w:pStyle w:val="5"/>
        <w:keepNext w:val="0"/>
        <w:keepLines w:val="0"/>
        <w:pageBreakBefore w:val="0"/>
        <w:widowControl/>
        <w:numPr>
          <w:ilvl w:val="0"/>
          <w:numId w:val="4"/>
        </w:numPr>
        <w:kinsoku/>
        <w:wordWrap/>
        <w:overflowPunct/>
        <w:topLinePunct w:val="0"/>
        <w:autoSpaceDE/>
        <w:autoSpaceDN/>
        <w:bidi w:val="0"/>
        <w:adjustRightInd/>
        <w:snapToGrid/>
        <w:spacing w:line="360" w:lineRule="auto"/>
        <w:ind w:left="0" w:leftChars="0" w:firstLine="480" w:firstLineChars="200"/>
        <w:rPr>
          <w:rFonts w:hint="default" w:ascii="仿宋_GB2312" w:hAnsi="仿宋_GB2312" w:eastAsia="仿宋_GB2312" w:cs="仿宋_GB2312"/>
          <w:color w:val="auto"/>
          <w:kern w:val="0"/>
          <w:sz w:val="30"/>
          <w:szCs w:val="30"/>
          <w:highlight w:val="none"/>
          <w:lang w:val="en-US" w:eastAsia="zh-CN" w:bidi="ar-SA"/>
        </w:rPr>
      </w:pPr>
      <w:r>
        <w:rPr>
          <w:color w:val="auto"/>
          <w:highlight w:val="none"/>
        </w:rPr>
        <w:t>须具备建设行政主管部门核发的施工劳务企业资质（施工劳务不分等级或建筑业企业施工劳务备案证书或建筑专业作业企业工种分类证书），具备有效的安全生产许可证。</w:t>
      </w:r>
    </w:p>
    <w:p w14:paraId="79258515">
      <w:pPr>
        <w:pStyle w:val="5"/>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rPr>
          <w:b w:val="0"/>
          <w:color w:val="auto"/>
          <w:highlight w:val="none"/>
        </w:rPr>
      </w:pPr>
      <w:r>
        <w:rPr>
          <w:color w:val="auto"/>
          <w:highlight w:val="none"/>
        </w:rPr>
        <w:t>技术</w:t>
      </w:r>
      <w:r>
        <w:rPr>
          <w:rFonts w:hint="eastAsia"/>
          <w:color w:val="auto"/>
          <w:highlight w:val="none"/>
          <w:lang w:val="en-US" w:eastAsia="zh-CN"/>
        </w:rPr>
        <w:t>及人员</w:t>
      </w:r>
      <w:r>
        <w:rPr>
          <w:color w:val="auto"/>
          <w:highlight w:val="none"/>
        </w:rPr>
        <w:t>要求：具有履行合同所必需的设备和专业技术能力</w:t>
      </w:r>
      <w:r>
        <w:rPr>
          <w:rFonts w:hint="eastAsia"/>
          <w:color w:val="auto"/>
          <w:highlight w:val="none"/>
          <w:lang w:eastAsia="zh-CN"/>
        </w:rPr>
        <w:t>（</w:t>
      </w:r>
      <w:r>
        <w:rPr>
          <w:color w:val="auto"/>
          <w:highlight w:val="none"/>
        </w:rPr>
        <w:t>包含</w:t>
      </w:r>
      <w:r>
        <w:rPr>
          <w:rFonts w:hint="eastAsia"/>
          <w:color w:val="auto"/>
          <w:highlight w:val="none"/>
          <w:lang w:val="en-US" w:eastAsia="zh-CN"/>
        </w:rPr>
        <w:t>具有</w:t>
      </w:r>
      <w:r>
        <w:rPr>
          <w:rFonts w:hint="eastAsia"/>
          <w:color w:val="auto"/>
          <w:highlight w:val="yellow"/>
          <w:lang w:val="en-US" w:eastAsia="zh-CN"/>
        </w:rPr>
        <w:t>建筑二级建造师或施工员证书</w:t>
      </w:r>
      <w:r>
        <w:rPr>
          <w:rFonts w:hint="eastAsia"/>
          <w:color w:val="auto"/>
          <w:highlight w:val="none"/>
          <w:lang w:val="en-US" w:eastAsia="zh-CN"/>
        </w:rPr>
        <w:t>的</w:t>
      </w:r>
      <w:r>
        <w:rPr>
          <w:color w:val="auto"/>
          <w:highlight w:val="none"/>
        </w:rPr>
        <w:t>现场施工管理人员</w:t>
      </w:r>
      <w:r>
        <w:rPr>
          <w:rFonts w:hint="eastAsia"/>
          <w:color w:val="auto"/>
          <w:highlight w:val="none"/>
          <w:lang w:val="en-US" w:eastAsia="zh-CN"/>
        </w:rPr>
        <w:t>1</w:t>
      </w:r>
      <w:r>
        <w:rPr>
          <w:color w:val="auto"/>
          <w:highlight w:val="none"/>
        </w:rPr>
        <w:t>名，</w:t>
      </w:r>
      <w:r>
        <w:rPr>
          <w:rFonts w:hint="eastAsia"/>
          <w:color w:val="auto"/>
          <w:highlight w:val="none"/>
          <w:lang w:val="en-US" w:eastAsia="zh-CN"/>
        </w:rPr>
        <w:t>具有安全员证书的</w:t>
      </w:r>
      <w:r>
        <w:rPr>
          <w:color w:val="auto"/>
          <w:highlight w:val="none"/>
        </w:rPr>
        <w:t>安全协管人员不低于1人，</w:t>
      </w:r>
      <w:r>
        <w:rPr>
          <w:rFonts w:hint="eastAsia"/>
          <w:color w:val="auto"/>
          <w:highlight w:val="none"/>
          <w:lang w:val="en-US" w:eastAsia="zh-CN"/>
        </w:rPr>
        <w:t>具有相关工作经验的</w:t>
      </w:r>
      <w:r>
        <w:rPr>
          <w:color w:val="auto"/>
          <w:highlight w:val="none"/>
        </w:rPr>
        <w:t>劳资</w:t>
      </w:r>
      <w:r>
        <w:rPr>
          <w:rFonts w:hint="eastAsia"/>
          <w:color w:val="auto"/>
          <w:highlight w:val="none"/>
          <w:lang w:val="en-US" w:eastAsia="zh-CN"/>
        </w:rPr>
        <w:t>资料</w:t>
      </w:r>
      <w:r>
        <w:rPr>
          <w:color w:val="auto"/>
          <w:highlight w:val="none"/>
        </w:rPr>
        <w:t>管理人员不低于1人</w:t>
      </w:r>
      <w:r>
        <w:rPr>
          <w:rFonts w:hint="eastAsia"/>
          <w:color w:val="auto"/>
          <w:highlight w:val="none"/>
          <w:lang w:eastAsia="zh-CN"/>
        </w:rPr>
        <w:t>，</w:t>
      </w:r>
      <w:r>
        <w:rPr>
          <w:rFonts w:hint="eastAsia"/>
          <w:color w:val="auto"/>
          <w:highlight w:val="none"/>
          <w:lang w:val="en-US" w:eastAsia="zh-CN"/>
        </w:rPr>
        <w:t>具有相关工作经验的劳务造价专员1名</w:t>
      </w:r>
      <w:r>
        <w:rPr>
          <w:rFonts w:hint="eastAsia"/>
          <w:color w:val="auto"/>
          <w:highlight w:val="none"/>
          <w:lang w:eastAsia="zh-CN"/>
        </w:rPr>
        <w:t>，</w:t>
      </w:r>
      <w:r>
        <w:rPr>
          <w:rFonts w:hint="eastAsia"/>
          <w:color w:val="auto"/>
          <w:highlight w:val="none"/>
          <w:lang w:val="en-US" w:eastAsia="zh-CN"/>
        </w:rPr>
        <w:t>需</w:t>
      </w:r>
      <w:r>
        <w:rPr>
          <w:color w:val="auto"/>
          <w:highlight w:val="none"/>
        </w:rPr>
        <w:t>提供</w:t>
      </w:r>
      <w:r>
        <w:rPr>
          <w:rFonts w:hint="eastAsia"/>
          <w:color w:val="auto"/>
          <w:highlight w:val="none"/>
          <w:lang w:val="en-US" w:eastAsia="zh-CN"/>
        </w:rPr>
        <w:t>人员与投标单位签订的劳动合同</w:t>
      </w:r>
      <w:r>
        <w:rPr>
          <w:color w:val="auto"/>
          <w:highlight w:val="none"/>
        </w:rPr>
        <w:t>）。</w:t>
      </w:r>
    </w:p>
    <w:p w14:paraId="6D457CAE">
      <w:pPr>
        <w:pStyle w:val="5"/>
        <w:keepNext w:val="0"/>
        <w:keepLines w:val="0"/>
        <w:pageBreakBefore w:val="0"/>
        <w:numPr>
          <w:ilvl w:val="0"/>
          <w:numId w:val="3"/>
        </w:numPr>
        <w:kinsoku/>
        <w:wordWrap/>
        <w:overflowPunct/>
        <w:topLinePunct w:val="0"/>
        <w:autoSpaceDE/>
        <w:autoSpaceDN/>
        <w:bidi w:val="0"/>
        <w:adjustRightInd/>
        <w:snapToGrid/>
        <w:spacing w:line="360" w:lineRule="auto"/>
        <w:ind w:left="0" w:leftChars="0" w:firstLine="480" w:firstLineChars="200"/>
        <w:rPr>
          <w:b w:val="0"/>
          <w:color w:val="auto"/>
          <w:highlight w:val="none"/>
          <w:u w:val="none"/>
        </w:rPr>
      </w:pPr>
      <w:r>
        <w:rPr>
          <w:color w:val="auto"/>
          <w:highlight w:val="none"/>
          <w:u w:val="none"/>
        </w:rPr>
        <w:t>报价要求：</w:t>
      </w:r>
    </w:p>
    <w:p w14:paraId="06F7A6F2">
      <w:pPr>
        <w:pStyle w:val="5"/>
        <w:keepNext w:val="0"/>
        <w:keepLines w:val="0"/>
        <w:pageBreakBefore w:val="0"/>
        <w:kinsoku/>
        <w:wordWrap/>
        <w:overflowPunct/>
        <w:topLinePunct w:val="0"/>
        <w:autoSpaceDE/>
        <w:autoSpaceDN/>
        <w:bidi w:val="0"/>
        <w:adjustRightInd/>
        <w:snapToGrid/>
        <w:spacing w:line="360" w:lineRule="auto"/>
        <w:ind w:firstLine="480" w:firstLineChars="200"/>
        <w:rPr>
          <w:highlight w:val="none"/>
        </w:rPr>
      </w:pPr>
      <w:r>
        <w:rPr>
          <w:color w:val="auto"/>
          <w:highlight w:val="none"/>
          <w:u w:val="none"/>
        </w:rPr>
        <w:t>以清单总价报下浮</w:t>
      </w:r>
      <w:r>
        <w:rPr>
          <w:color w:val="auto"/>
          <w:highlight w:val="none"/>
        </w:rPr>
        <w:t>比例（详附件</w:t>
      </w:r>
      <w:r>
        <w:rPr>
          <w:rFonts w:hint="eastAsia"/>
          <w:color w:val="auto"/>
          <w:highlight w:val="none"/>
          <w:lang w:val="en-US" w:eastAsia="zh-CN"/>
        </w:rPr>
        <w:t>4</w:t>
      </w:r>
      <w:r>
        <w:rPr>
          <w:color w:val="auto"/>
          <w:highlight w:val="none"/>
        </w:rPr>
        <w:t>），</w:t>
      </w:r>
      <w:r>
        <w:rPr>
          <w:color w:val="auto"/>
          <w:highlight w:val="yellow"/>
        </w:rPr>
        <w:t>下浮率应高于1</w:t>
      </w:r>
      <w:r>
        <w:rPr>
          <w:rFonts w:hint="eastAsia"/>
          <w:color w:val="auto"/>
          <w:highlight w:val="yellow"/>
          <w:lang w:val="en-US" w:eastAsia="zh-CN"/>
        </w:rPr>
        <w:t>0</w:t>
      </w:r>
      <w:r>
        <w:rPr>
          <w:color w:val="auto"/>
          <w:highlight w:val="yellow"/>
        </w:rPr>
        <w:t>%,且下浮率应小于</w:t>
      </w:r>
      <w:r>
        <w:rPr>
          <w:rFonts w:hint="eastAsia"/>
          <w:color w:val="auto"/>
          <w:highlight w:val="yellow"/>
          <w:lang w:val="en-US" w:eastAsia="zh-CN"/>
        </w:rPr>
        <w:t>15</w:t>
      </w:r>
      <w:r>
        <w:rPr>
          <w:color w:val="auto"/>
          <w:highlight w:val="yellow"/>
        </w:rPr>
        <w:t>%，下浮率≤1</w:t>
      </w:r>
      <w:r>
        <w:rPr>
          <w:rFonts w:hint="eastAsia"/>
          <w:color w:val="auto"/>
          <w:highlight w:val="yellow"/>
          <w:lang w:val="en-US" w:eastAsia="zh-CN"/>
        </w:rPr>
        <w:t>0</w:t>
      </w:r>
      <w:r>
        <w:rPr>
          <w:color w:val="auto"/>
          <w:highlight w:val="yellow"/>
        </w:rPr>
        <w:t>%或≥</w:t>
      </w:r>
      <w:r>
        <w:rPr>
          <w:rFonts w:hint="eastAsia"/>
          <w:color w:val="auto"/>
          <w:highlight w:val="yellow"/>
          <w:lang w:val="en-US" w:eastAsia="zh-CN"/>
        </w:rPr>
        <w:t>15</w:t>
      </w:r>
      <w:r>
        <w:rPr>
          <w:color w:val="auto"/>
          <w:highlight w:val="yellow"/>
        </w:rPr>
        <w:t>%视为废标</w:t>
      </w:r>
      <w:r>
        <w:rPr>
          <w:color w:val="auto"/>
          <w:highlight w:val="yellow"/>
          <w:u w:val="none"/>
        </w:rPr>
        <w:t>。</w:t>
      </w:r>
      <w:r>
        <w:rPr>
          <w:rFonts w:hint="eastAsia"/>
          <w:color w:val="auto"/>
          <w:highlight w:val="none"/>
          <w:lang w:val="en-US" w:eastAsia="zh-CN"/>
        </w:rPr>
        <w:t>本次招标的劳务单位需根据招标工作内容、工程清单及图纸自行考虑并报价，工程</w:t>
      </w:r>
      <w:r>
        <w:rPr>
          <w:color w:val="auto"/>
          <w:highlight w:val="none"/>
        </w:rPr>
        <w:t>结算费最终以竣工验收</w:t>
      </w:r>
      <w:r>
        <w:rPr>
          <w:rFonts w:hint="eastAsia"/>
          <w:color w:val="auto"/>
          <w:highlight w:val="none"/>
          <w:lang w:val="en-US" w:eastAsia="zh-CN"/>
        </w:rPr>
        <w:t>合格</w:t>
      </w:r>
      <w:r>
        <w:rPr>
          <w:color w:val="auto"/>
          <w:highlight w:val="none"/>
        </w:rPr>
        <w:t>后业主认可的工程造价</w:t>
      </w:r>
      <w:r>
        <w:rPr>
          <w:rFonts w:hint="eastAsia"/>
          <w:color w:val="auto"/>
          <w:highlight w:val="none"/>
          <w:lang w:val="en-US" w:eastAsia="zh-CN"/>
        </w:rPr>
        <w:t>及签字确认的工作指令单</w:t>
      </w:r>
      <w:r>
        <w:rPr>
          <w:color w:val="auto"/>
          <w:highlight w:val="none"/>
        </w:rPr>
        <w:t>进行结算</w:t>
      </w:r>
      <w:r>
        <w:rPr>
          <w:rFonts w:hint="eastAsia"/>
          <w:color w:val="auto"/>
          <w:highlight w:val="none"/>
          <w:lang w:val="en-US" w:eastAsia="zh-CN"/>
        </w:rPr>
        <w:t>的</w:t>
      </w:r>
      <w:r>
        <w:rPr>
          <w:color w:val="auto"/>
          <w:highlight w:val="none"/>
        </w:rPr>
        <w:t>总价进行下浮（下浮比以中选下浮</w:t>
      </w:r>
      <w:r>
        <w:rPr>
          <w:rFonts w:hint="eastAsia"/>
          <w:color w:val="auto"/>
          <w:highlight w:val="none"/>
          <w:lang w:val="en-US" w:eastAsia="zh-CN"/>
        </w:rPr>
        <w:t>率</w:t>
      </w:r>
      <w:r>
        <w:rPr>
          <w:color w:val="auto"/>
          <w:highlight w:val="none"/>
        </w:rPr>
        <w:t>一致）。</w:t>
      </w:r>
    </w:p>
    <w:p w14:paraId="786CA2F8">
      <w:pPr>
        <w:pStyle w:val="5"/>
        <w:keepNext w:val="0"/>
        <w:keepLines w:val="0"/>
        <w:pageBreakBefore w:val="0"/>
        <w:numPr>
          <w:ilvl w:val="0"/>
          <w:numId w:val="3"/>
        </w:numPr>
        <w:kinsoku/>
        <w:wordWrap/>
        <w:overflowPunct/>
        <w:topLinePunct w:val="0"/>
        <w:autoSpaceDE/>
        <w:autoSpaceDN/>
        <w:bidi w:val="0"/>
        <w:adjustRightInd/>
        <w:snapToGrid/>
        <w:spacing w:line="360" w:lineRule="auto"/>
        <w:ind w:left="0" w:leftChars="0" w:firstLine="480" w:firstLineChars="200"/>
        <w:rPr>
          <w:b w:val="0"/>
          <w:color w:val="auto"/>
          <w:highlight w:val="none"/>
          <w:u w:val="none"/>
        </w:rPr>
      </w:pPr>
      <w:r>
        <w:rPr>
          <w:color w:val="auto"/>
          <w:highlight w:val="none"/>
          <w:u w:val="none"/>
        </w:rPr>
        <w:t>中选单位确定方式：</w:t>
      </w:r>
    </w:p>
    <w:p w14:paraId="129BA9A4">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kern w:val="2"/>
          <w:sz w:val="24"/>
          <w:highlight w:val="none"/>
          <w:lang w:val="en-US" w:eastAsia="zh-CN" w:bidi="ar-SA"/>
        </w:rPr>
      </w:pPr>
      <w:r>
        <w:rPr>
          <w:rFonts w:hint="eastAsia" w:ascii="Times New Roman" w:hAnsi="Times New Roman" w:eastAsia="宋体" w:cs="Times New Roman"/>
          <w:color w:val="auto"/>
          <w:kern w:val="2"/>
          <w:sz w:val="24"/>
          <w:highlight w:val="none"/>
          <w:lang w:val="en-US" w:eastAsia="zh-CN" w:bidi="ar-SA"/>
        </w:rPr>
        <w:t>本次招标采用“综合择优选取法”评审，根据报价、施工方案等综合比较择优确定本项目合作单位。（详附表</w:t>
      </w:r>
      <w:r>
        <w:rPr>
          <w:rFonts w:hint="eastAsia" w:cs="Times New Roman"/>
          <w:color w:val="auto"/>
          <w:kern w:val="2"/>
          <w:sz w:val="24"/>
          <w:highlight w:val="none"/>
          <w:lang w:val="en-US" w:eastAsia="zh-CN" w:bidi="ar-SA"/>
        </w:rPr>
        <w:t>3</w:t>
      </w:r>
      <w:r>
        <w:rPr>
          <w:rFonts w:hint="eastAsia" w:ascii="Times New Roman" w:hAnsi="Times New Roman" w:eastAsia="宋体" w:cs="Times New Roman"/>
          <w:color w:val="auto"/>
          <w:kern w:val="2"/>
          <w:sz w:val="24"/>
          <w:highlight w:val="none"/>
          <w:lang w:val="en-US" w:eastAsia="zh-CN" w:bidi="ar-SA"/>
        </w:rPr>
        <w:t>）</w:t>
      </w:r>
    </w:p>
    <w:p w14:paraId="23C60EED">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color w:val="auto"/>
          <w:highlight w:val="none"/>
        </w:rPr>
      </w:pPr>
      <w:r>
        <w:rPr>
          <w:rFonts w:hint="eastAsia" w:ascii="Times New Roman" w:hAnsi="Times New Roman" w:eastAsia="宋体" w:cs="Times New Roman"/>
          <w:color w:val="auto"/>
          <w:kern w:val="2"/>
          <w:sz w:val="24"/>
          <w:highlight w:val="none"/>
          <w:lang w:val="en-US" w:eastAsia="zh-CN" w:bidi="ar-SA"/>
        </w:rPr>
        <w:t>综合评分法评标步骤：由评标委员会进行符合性审查以及技术、商务的详细评审，按照评标程序、评分标准以及分值分配的规定，评标委员会成员分别就各个投标人的技术、商务状况，其对招标文件要求的响应情况进行评议和比较，综合得分相同的，按投标报价由低到高顺序排列。</w:t>
      </w:r>
    </w:p>
    <w:p w14:paraId="5C9118B7">
      <w:pPr>
        <w:pStyle w:val="5"/>
        <w:keepNext w:val="0"/>
        <w:keepLines w:val="0"/>
        <w:pageBreakBefore w:val="0"/>
        <w:numPr>
          <w:ilvl w:val="0"/>
          <w:numId w:val="3"/>
        </w:numPr>
        <w:kinsoku/>
        <w:wordWrap/>
        <w:overflowPunct/>
        <w:topLinePunct w:val="0"/>
        <w:autoSpaceDE/>
        <w:autoSpaceDN/>
        <w:bidi w:val="0"/>
        <w:adjustRightInd/>
        <w:snapToGrid/>
        <w:spacing w:line="360" w:lineRule="auto"/>
        <w:ind w:left="0" w:leftChars="0" w:firstLine="480" w:firstLineChars="200"/>
        <w:rPr>
          <w:b w:val="0"/>
          <w:color w:val="auto"/>
          <w:highlight w:val="none"/>
          <w:u w:val="none"/>
        </w:rPr>
      </w:pPr>
      <w:r>
        <w:rPr>
          <w:color w:val="auto"/>
          <w:highlight w:val="none"/>
          <w:u w:val="none"/>
        </w:rPr>
        <w:t>施工工期：以我司通知进场为准</w:t>
      </w:r>
      <w:r>
        <w:rPr>
          <w:color w:val="auto"/>
          <w:highlight w:val="yellow"/>
          <w:u w:val="none"/>
        </w:rPr>
        <w:t>，工期为</w:t>
      </w:r>
      <w:r>
        <w:rPr>
          <w:rFonts w:hint="eastAsia"/>
          <w:color w:val="auto"/>
          <w:highlight w:val="yellow"/>
          <w:u w:val="single"/>
          <w:lang w:val="en-US" w:eastAsia="zh-CN"/>
        </w:rPr>
        <w:t>240</w:t>
      </w:r>
      <w:r>
        <w:rPr>
          <w:color w:val="auto"/>
          <w:highlight w:val="yellow"/>
          <w:u w:val="none"/>
        </w:rPr>
        <w:t>天</w:t>
      </w:r>
      <w:r>
        <w:rPr>
          <w:color w:val="auto"/>
          <w:highlight w:val="none"/>
          <w:u w:val="none"/>
        </w:rPr>
        <w:t>。</w:t>
      </w:r>
      <w:r>
        <w:rPr>
          <w:rFonts w:hint="eastAsia"/>
          <w:color w:val="auto"/>
          <w:highlight w:val="none"/>
          <w:u w:val="none"/>
          <w:lang w:val="en-US" w:eastAsia="zh-CN"/>
        </w:rPr>
        <w:t>(若工期延期则分包工期顺延）。</w:t>
      </w:r>
    </w:p>
    <w:p w14:paraId="58E34D2D">
      <w:pPr>
        <w:pStyle w:val="5"/>
        <w:keepNext w:val="0"/>
        <w:keepLines w:val="0"/>
        <w:pageBreakBefore w:val="0"/>
        <w:numPr>
          <w:ilvl w:val="0"/>
          <w:numId w:val="3"/>
        </w:numPr>
        <w:kinsoku/>
        <w:wordWrap/>
        <w:overflowPunct/>
        <w:topLinePunct w:val="0"/>
        <w:autoSpaceDE/>
        <w:autoSpaceDN/>
        <w:bidi w:val="0"/>
        <w:adjustRightInd/>
        <w:snapToGrid/>
        <w:spacing w:line="360" w:lineRule="auto"/>
        <w:ind w:left="0" w:leftChars="0" w:firstLine="480" w:firstLineChars="200"/>
        <w:rPr>
          <w:b w:val="0"/>
          <w:color w:val="auto"/>
          <w:highlight w:val="none"/>
          <w:u w:val="none"/>
        </w:rPr>
      </w:pPr>
      <w:r>
        <w:rPr>
          <w:color w:val="auto"/>
          <w:highlight w:val="none"/>
          <w:u w:val="none"/>
        </w:rPr>
        <w:t>施工要求：满足施工图纸及现行相关规范要求，经相关部门验收合格。</w:t>
      </w:r>
    </w:p>
    <w:p w14:paraId="7026B674">
      <w:pPr>
        <w:pStyle w:val="5"/>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rPr>
          <w:b w:val="0"/>
          <w:color w:val="auto"/>
          <w:highlight w:val="none"/>
        </w:rPr>
      </w:pPr>
      <w:r>
        <w:rPr>
          <w:color w:val="auto"/>
          <w:highlight w:val="none"/>
        </w:rPr>
        <w:t>合同价格形式及工程结算：</w:t>
      </w:r>
      <w:r>
        <w:rPr>
          <w:rFonts w:hint="eastAsia"/>
          <w:color w:val="auto"/>
          <w:highlight w:val="none"/>
          <w:lang w:val="en-US" w:eastAsia="zh-CN"/>
        </w:rPr>
        <w:t>工程</w:t>
      </w:r>
      <w:r>
        <w:rPr>
          <w:color w:val="auto"/>
          <w:highlight w:val="none"/>
        </w:rPr>
        <w:t>费用按中标单价暂估，最终按业主审计结算价</w:t>
      </w:r>
      <w:r>
        <w:rPr>
          <w:rFonts w:hint="eastAsia"/>
          <w:color w:val="auto"/>
          <w:highlight w:val="none"/>
          <w:lang w:val="en-US" w:eastAsia="zh-CN"/>
        </w:rPr>
        <w:t>及审定工程量</w:t>
      </w:r>
      <w:r>
        <w:rPr>
          <w:color w:val="auto"/>
          <w:highlight w:val="none"/>
        </w:rPr>
        <w:t>结合中标下浮率</w:t>
      </w:r>
      <w:r>
        <w:rPr>
          <w:rFonts w:hint="eastAsia"/>
          <w:color w:val="auto"/>
          <w:highlight w:val="none"/>
          <w:lang w:val="en-US" w:eastAsia="zh-CN"/>
        </w:rPr>
        <w:t>进行工程</w:t>
      </w:r>
      <w:r>
        <w:rPr>
          <w:color w:val="auto"/>
          <w:highlight w:val="none"/>
        </w:rPr>
        <w:t>结算。工程费用包含人工费、机械费、措施费、劳保费、管理费、利润、辅材费、用工人员保险费、税金</w:t>
      </w:r>
      <w:r>
        <w:rPr>
          <w:rFonts w:hint="eastAsia"/>
          <w:color w:val="auto"/>
          <w:highlight w:val="none"/>
          <w:lang w:eastAsia="zh-CN"/>
        </w:rPr>
        <w:t>、</w:t>
      </w:r>
      <w:r>
        <w:rPr>
          <w:rFonts w:hint="eastAsia"/>
          <w:color w:val="auto"/>
          <w:highlight w:val="none"/>
          <w:lang w:val="en-US" w:eastAsia="zh-CN"/>
        </w:rPr>
        <w:t>安全文明施工费、规费</w:t>
      </w:r>
      <w:r>
        <w:rPr>
          <w:color w:val="auto"/>
          <w:highlight w:val="none"/>
        </w:rPr>
        <w:t>等一切费用。</w:t>
      </w:r>
    </w:p>
    <w:p w14:paraId="0E6740DF">
      <w:pPr>
        <w:pStyle w:val="5"/>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rPr>
          <w:b w:val="0"/>
          <w:color w:val="auto"/>
          <w:highlight w:val="none"/>
        </w:rPr>
      </w:pPr>
      <w:r>
        <w:rPr>
          <w:color w:val="auto"/>
          <w:highlight w:val="none"/>
        </w:rPr>
        <w:t>变更约定: 变更的工程费用经业主认可的工程</w:t>
      </w:r>
      <w:r>
        <w:rPr>
          <w:rFonts w:hint="eastAsia"/>
          <w:color w:val="auto"/>
          <w:highlight w:val="none"/>
          <w:lang w:val="en-US" w:eastAsia="zh-CN"/>
        </w:rPr>
        <w:t>结算</w:t>
      </w:r>
      <w:r>
        <w:rPr>
          <w:color w:val="auto"/>
          <w:highlight w:val="none"/>
        </w:rPr>
        <w:t>造价下浮N%</w:t>
      </w:r>
      <w:r>
        <w:rPr>
          <w:rFonts w:hint="eastAsia"/>
          <w:color w:val="auto"/>
          <w:highlight w:val="none"/>
          <w:lang w:val="en-US" w:eastAsia="zh-CN"/>
        </w:rPr>
        <w:t>办理工程</w:t>
      </w:r>
      <w:r>
        <w:rPr>
          <w:color w:val="auto"/>
          <w:highlight w:val="none"/>
        </w:rPr>
        <w:t>结算 (N为该</w:t>
      </w:r>
      <w:r>
        <w:rPr>
          <w:rFonts w:hint="eastAsia"/>
          <w:color w:val="auto"/>
          <w:highlight w:val="none"/>
          <w:lang w:val="en-US" w:eastAsia="zh-CN"/>
        </w:rPr>
        <w:t>分包</w:t>
      </w:r>
      <w:r>
        <w:rPr>
          <w:color w:val="auto"/>
          <w:highlight w:val="none"/>
        </w:rPr>
        <w:t>的中标下浮率点)</w:t>
      </w:r>
      <w:r>
        <w:rPr>
          <w:rFonts w:hint="eastAsia"/>
          <w:color w:val="auto"/>
          <w:highlight w:val="none"/>
          <w:lang w:eastAsia="zh-CN"/>
        </w:rPr>
        <w:t>，</w:t>
      </w:r>
      <w:r>
        <w:rPr>
          <w:color w:val="auto"/>
          <w:highlight w:val="none"/>
        </w:rPr>
        <w:t>结算价格中含人工费、机械费、措施费、劳保费、管理费、利润、辅材费用、用工人员保险费、税金等一切费用。</w:t>
      </w:r>
    </w:p>
    <w:p w14:paraId="3D2CFFEC">
      <w:pPr>
        <w:pStyle w:val="5"/>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rPr>
          <w:b w:val="0"/>
          <w:color w:val="auto"/>
          <w:highlight w:val="none"/>
        </w:rPr>
      </w:pPr>
      <w:r>
        <w:rPr>
          <w:color w:val="auto"/>
          <w:highlight w:val="none"/>
        </w:rPr>
        <w:t>工程进度款支付：</w:t>
      </w:r>
      <w:r>
        <w:rPr>
          <w:rFonts w:hint="eastAsia"/>
          <w:color w:val="auto"/>
          <w:highlight w:val="none"/>
          <w:lang w:val="en-US" w:eastAsia="zh-CN"/>
        </w:rPr>
        <w:t>分包单位按月向工程项目部申报施工进度月报表，在此周期内完成的实际工作量作为进度款支付依据，支付该次进度款的80%；竣工验收后支付至已完成工程量的90%；竣工结算审计结束后一个月内付余款（3%的质保金除外）（未支付部分不计息）。</w:t>
      </w:r>
      <w:r>
        <w:rPr>
          <w:color w:val="auto"/>
          <w:highlight w:val="none"/>
        </w:rPr>
        <w:t>新增、变更工程按</w:t>
      </w:r>
      <w:r>
        <w:rPr>
          <w:rFonts w:hint="eastAsia"/>
          <w:color w:val="auto"/>
          <w:highlight w:val="none"/>
          <w:lang w:val="en-US" w:eastAsia="zh-CN"/>
        </w:rPr>
        <w:t>业主</w:t>
      </w:r>
      <w:r>
        <w:rPr>
          <w:color w:val="auto"/>
          <w:highlight w:val="none"/>
        </w:rPr>
        <w:t>审定的已完成产值的工程造价50%进行拨付，剩余部分待审计结束后支付至结算总价的 97%，留 3%作工程质量保修金。</w:t>
      </w:r>
    </w:p>
    <w:p w14:paraId="0405CD0E">
      <w:pPr>
        <w:pStyle w:val="2"/>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right="0" w:rightChars="0" w:firstLine="480" w:firstLineChars="200"/>
        <w:jc w:val="both"/>
        <w:textAlignment w:val="baseline"/>
        <w:rPr>
          <w:rFonts w:hint="eastAsia" w:ascii="Times New Roman" w:hAnsi="Times New Roman" w:eastAsia="宋体" w:cs="Times New Roman"/>
          <w:color w:val="auto"/>
          <w:kern w:val="2"/>
          <w:sz w:val="24"/>
          <w:szCs w:val="20"/>
          <w:highlight w:val="yellow"/>
          <w:lang w:val="en-US" w:eastAsia="zh-CN" w:bidi="ar-SA"/>
        </w:rPr>
      </w:pPr>
      <w:r>
        <w:rPr>
          <w:rFonts w:hint="eastAsia" w:cs="Times New Roman"/>
          <w:color w:val="auto"/>
          <w:kern w:val="2"/>
          <w:sz w:val="24"/>
          <w:szCs w:val="20"/>
          <w:highlight w:val="yellow"/>
          <w:lang w:val="en-US" w:eastAsia="zh-CN" w:bidi="ar-SA"/>
        </w:rPr>
        <w:t>10.</w:t>
      </w:r>
      <w:r>
        <w:rPr>
          <w:rFonts w:hint="eastAsia" w:ascii="Times New Roman" w:hAnsi="Times New Roman" w:eastAsia="宋体" w:cs="Times New Roman"/>
          <w:color w:val="auto"/>
          <w:kern w:val="2"/>
          <w:sz w:val="24"/>
          <w:szCs w:val="20"/>
          <w:highlight w:val="yellow"/>
          <w:lang w:val="en-US" w:eastAsia="zh-CN" w:bidi="ar-SA"/>
        </w:rPr>
        <w:t>创优创奖措施费用：</w:t>
      </w:r>
    </w:p>
    <w:p w14:paraId="1E90F2B6">
      <w:pPr>
        <w:pStyle w:val="2"/>
        <w:keepNext w:val="0"/>
        <w:keepLines w:val="0"/>
        <w:pageBreakBefore w:val="0"/>
        <w:widowControl/>
        <w:kinsoku/>
        <w:wordWrap/>
        <w:overflowPunct/>
        <w:topLinePunct w:val="0"/>
        <w:autoSpaceDE/>
        <w:autoSpaceDN/>
        <w:bidi w:val="0"/>
        <w:adjustRightInd/>
        <w:snapToGrid/>
        <w:spacing w:line="360" w:lineRule="auto"/>
        <w:ind w:right="-119" w:firstLine="480" w:firstLineChars="200"/>
        <w:jc w:val="left"/>
        <w:textAlignment w:val="baseline"/>
        <w:rPr>
          <w:rFonts w:hint="default" w:ascii="Times New Roman" w:hAnsi="Times New Roman" w:eastAsia="宋体" w:cs="Times New Roman"/>
          <w:color w:val="auto"/>
          <w:kern w:val="2"/>
          <w:sz w:val="24"/>
          <w:szCs w:val="20"/>
          <w:highlight w:val="yellow"/>
          <w:lang w:val="en-US" w:eastAsia="zh-CN" w:bidi="ar-SA"/>
        </w:rPr>
      </w:pPr>
      <w:r>
        <w:rPr>
          <w:rFonts w:hint="eastAsia" w:cs="Times New Roman"/>
          <w:color w:val="auto"/>
          <w:kern w:val="2"/>
          <w:sz w:val="24"/>
          <w:szCs w:val="20"/>
          <w:highlight w:val="yellow"/>
          <w:lang w:val="en-US" w:eastAsia="zh-CN" w:bidi="ar-SA"/>
        </w:rPr>
        <w:t>10.1</w:t>
      </w:r>
      <w:r>
        <w:rPr>
          <w:rFonts w:hint="eastAsia" w:ascii="Times New Roman" w:hAnsi="Times New Roman" w:eastAsia="宋体" w:cs="Times New Roman"/>
          <w:color w:val="auto"/>
          <w:kern w:val="2"/>
          <w:sz w:val="24"/>
          <w:szCs w:val="20"/>
          <w:highlight w:val="yellow"/>
          <w:lang w:val="en-US" w:eastAsia="zh-CN" w:bidi="ar-SA"/>
        </w:rPr>
        <w:t>乙方承诺综合调度中心采用</w:t>
      </w:r>
      <w:r>
        <w:rPr>
          <w:rFonts w:hint="eastAsia" w:cs="Times New Roman"/>
          <w:color w:val="auto"/>
          <w:kern w:val="2"/>
          <w:sz w:val="24"/>
          <w:szCs w:val="20"/>
          <w:highlight w:val="yellow"/>
          <w:lang w:val="en-US" w:eastAsia="zh-CN" w:bidi="ar-SA"/>
        </w:rPr>
        <w:t>：①</w:t>
      </w:r>
      <w:r>
        <w:rPr>
          <w:rFonts w:hint="eastAsia" w:ascii="Times New Roman" w:hAnsi="Times New Roman" w:eastAsia="宋体" w:cs="Times New Roman"/>
          <w:color w:val="auto"/>
          <w:kern w:val="2"/>
          <w:sz w:val="24"/>
          <w:szCs w:val="20"/>
          <w:highlight w:val="yellow"/>
          <w:lang w:val="en-US" w:eastAsia="zh-CN" w:bidi="ar-SA"/>
        </w:rPr>
        <w:t>模板支撑架采用盘扣式脚手架技术；</w:t>
      </w:r>
      <w:r>
        <w:rPr>
          <w:rFonts w:hint="eastAsia" w:cs="Times New Roman"/>
          <w:color w:val="auto"/>
          <w:kern w:val="2"/>
          <w:sz w:val="24"/>
          <w:szCs w:val="20"/>
          <w:highlight w:val="yellow"/>
          <w:lang w:val="en-US" w:eastAsia="zh-CN" w:bidi="ar-SA"/>
        </w:rPr>
        <w:t>②</w:t>
      </w:r>
      <w:r>
        <w:rPr>
          <w:rFonts w:hint="eastAsia" w:ascii="Times New Roman" w:hAnsi="Times New Roman" w:eastAsia="宋体" w:cs="Times New Roman"/>
          <w:color w:val="auto"/>
          <w:kern w:val="2"/>
          <w:sz w:val="24"/>
          <w:szCs w:val="20"/>
          <w:highlight w:val="yellow"/>
          <w:lang w:val="en-US" w:eastAsia="zh-CN" w:bidi="ar-SA"/>
        </w:rPr>
        <w:t>模板采用铝模技术；</w:t>
      </w:r>
      <w:r>
        <w:rPr>
          <w:rFonts w:hint="eastAsia" w:cs="Times New Roman"/>
          <w:color w:val="auto"/>
          <w:kern w:val="2"/>
          <w:sz w:val="24"/>
          <w:szCs w:val="20"/>
          <w:highlight w:val="yellow"/>
          <w:lang w:val="en-US" w:eastAsia="zh-CN" w:bidi="ar-SA"/>
        </w:rPr>
        <w:t>③</w:t>
      </w:r>
      <w:r>
        <w:rPr>
          <w:rFonts w:hint="eastAsia" w:ascii="Times New Roman" w:hAnsi="Times New Roman" w:eastAsia="宋体" w:cs="Times New Roman"/>
          <w:color w:val="auto"/>
          <w:kern w:val="2"/>
          <w:sz w:val="24"/>
          <w:szCs w:val="20"/>
          <w:highlight w:val="yellow"/>
          <w:lang w:val="en-US" w:eastAsia="zh-CN" w:bidi="ar-SA"/>
        </w:rPr>
        <w:t>主体外架施工防护采用钢板硬质防护网；</w:t>
      </w:r>
      <w:r>
        <w:rPr>
          <w:rFonts w:hint="eastAsia" w:cs="Times New Roman"/>
          <w:color w:val="auto"/>
          <w:kern w:val="2"/>
          <w:sz w:val="24"/>
          <w:szCs w:val="20"/>
          <w:highlight w:val="yellow"/>
          <w:lang w:val="en-US" w:eastAsia="zh-CN" w:bidi="ar-SA"/>
        </w:rPr>
        <w:t>④</w:t>
      </w:r>
      <w:r>
        <w:rPr>
          <w:rFonts w:hint="eastAsia" w:ascii="Times New Roman" w:hAnsi="Times New Roman" w:eastAsia="宋体" w:cs="Times New Roman"/>
          <w:color w:val="auto"/>
          <w:kern w:val="2"/>
          <w:sz w:val="24"/>
          <w:szCs w:val="20"/>
          <w:highlight w:val="yellow"/>
          <w:lang w:val="en-US" w:eastAsia="zh-CN" w:bidi="ar-SA"/>
        </w:rPr>
        <w:t>采用无人机巡视+AI算法智慧工地技术；</w:t>
      </w:r>
      <w:r>
        <w:rPr>
          <w:rFonts w:hint="eastAsia" w:cs="Times New Roman"/>
          <w:color w:val="auto"/>
          <w:kern w:val="2"/>
          <w:sz w:val="24"/>
          <w:szCs w:val="20"/>
          <w:highlight w:val="yellow"/>
          <w:lang w:val="en-US" w:eastAsia="zh-CN" w:bidi="ar-SA"/>
        </w:rPr>
        <w:t>⑤</w:t>
      </w:r>
      <w:r>
        <w:rPr>
          <w:rFonts w:hint="eastAsia" w:ascii="Times New Roman" w:hAnsi="Times New Roman" w:eastAsia="宋体" w:cs="Times New Roman"/>
          <w:color w:val="auto"/>
          <w:kern w:val="2"/>
          <w:sz w:val="24"/>
          <w:szCs w:val="20"/>
          <w:highlight w:val="yellow"/>
          <w:lang w:val="en-US" w:eastAsia="zh-CN" w:bidi="ar-SA"/>
        </w:rPr>
        <w:t>塔吊智能化喷淋系统技术；</w:t>
      </w:r>
      <w:r>
        <w:rPr>
          <w:rFonts w:hint="eastAsia" w:cs="Times New Roman"/>
          <w:color w:val="auto"/>
          <w:kern w:val="2"/>
          <w:sz w:val="24"/>
          <w:szCs w:val="20"/>
          <w:highlight w:val="yellow"/>
          <w:lang w:val="en-US" w:eastAsia="zh-CN" w:bidi="ar-SA"/>
        </w:rPr>
        <w:t>⑥</w:t>
      </w:r>
      <w:r>
        <w:rPr>
          <w:rFonts w:hint="eastAsia" w:ascii="Times New Roman" w:hAnsi="Times New Roman" w:eastAsia="宋体" w:cs="Times New Roman"/>
          <w:color w:val="auto"/>
          <w:kern w:val="2"/>
          <w:sz w:val="24"/>
          <w:szCs w:val="20"/>
          <w:highlight w:val="yellow"/>
          <w:lang w:val="en-US" w:eastAsia="zh-CN" w:bidi="ar-SA"/>
        </w:rPr>
        <w:t>智能安全帽智慧工地技术；在施工过程若乙方未采用上述方案，视为乙方违约，甲方可以解除乙方合同</w:t>
      </w:r>
      <w:r>
        <w:rPr>
          <w:rFonts w:hint="eastAsia" w:cs="Times New Roman"/>
          <w:color w:val="auto"/>
          <w:kern w:val="2"/>
          <w:sz w:val="24"/>
          <w:szCs w:val="20"/>
          <w:highlight w:val="yellow"/>
          <w:lang w:val="en-US" w:eastAsia="zh-CN" w:bidi="ar-SA"/>
        </w:rPr>
        <w:t>，同时乙方应赔偿甲方因在本工程创优创奖投入的费用，</w:t>
      </w:r>
      <w:r>
        <w:rPr>
          <w:rFonts w:hint="eastAsia" w:ascii="Times New Roman" w:hAnsi="Times New Roman" w:eastAsia="宋体" w:cs="Times New Roman"/>
          <w:color w:val="auto"/>
          <w:kern w:val="2"/>
          <w:sz w:val="24"/>
          <w:szCs w:val="20"/>
          <w:highlight w:val="yellow"/>
          <w:lang w:val="en-US" w:eastAsia="zh-CN" w:bidi="ar-SA"/>
        </w:rPr>
        <w:t>范围包括但不限于广告宣传费、活动板房建设费、临时设施及项目永久性建筑以外的其他全部相关费用 。该费用的具体核算以甲方确认的安全文明施工专项费用台账为准，乙方</w:t>
      </w:r>
      <w:r>
        <w:rPr>
          <w:rFonts w:hint="eastAsia" w:cs="Times New Roman"/>
          <w:color w:val="auto"/>
          <w:kern w:val="2"/>
          <w:sz w:val="24"/>
          <w:szCs w:val="20"/>
          <w:highlight w:val="yellow"/>
          <w:lang w:val="en-US" w:eastAsia="zh-CN" w:bidi="ar-SA"/>
        </w:rPr>
        <w:t>承诺</w:t>
      </w:r>
      <w:r>
        <w:rPr>
          <w:rFonts w:hint="eastAsia" w:ascii="Times New Roman" w:hAnsi="Times New Roman" w:eastAsia="宋体" w:cs="Times New Roman"/>
          <w:color w:val="auto"/>
          <w:kern w:val="2"/>
          <w:sz w:val="24"/>
          <w:szCs w:val="20"/>
          <w:highlight w:val="yellow"/>
          <w:lang w:val="en-US" w:eastAsia="zh-CN" w:bidi="ar-SA"/>
        </w:rPr>
        <w:t>对此无异议。</w:t>
      </w:r>
    </w:p>
    <w:p w14:paraId="7A3E4962">
      <w:pPr>
        <w:pStyle w:val="2"/>
        <w:keepNext w:val="0"/>
        <w:keepLines w:val="0"/>
        <w:pageBreakBefore w:val="0"/>
        <w:widowControl/>
        <w:kinsoku/>
        <w:wordWrap/>
        <w:overflowPunct/>
        <w:topLinePunct w:val="0"/>
        <w:autoSpaceDE/>
        <w:autoSpaceDN/>
        <w:bidi w:val="0"/>
        <w:adjustRightInd/>
        <w:snapToGrid/>
        <w:spacing w:line="360" w:lineRule="auto"/>
        <w:ind w:right="-119" w:firstLine="480" w:firstLineChars="200"/>
        <w:jc w:val="left"/>
        <w:textAlignment w:val="baseline"/>
        <w:rPr>
          <w:rFonts w:hint="eastAsia" w:ascii="Times New Roman" w:hAnsi="Times New Roman" w:eastAsia="宋体" w:cs="Times New Roman"/>
          <w:color w:val="auto"/>
          <w:kern w:val="2"/>
          <w:sz w:val="24"/>
          <w:szCs w:val="20"/>
          <w:highlight w:val="yellow"/>
          <w:lang w:val="en-US" w:eastAsia="zh-CN" w:bidi="ar-SA"/>
        </w:rPr>
      </w:pPr>
      <w:r>
        <w:rPr>
          <w:rFonts w:hint="eastAsia" w:ascii="Times New Roman" w:hAnsi="Times New Roman" w:eastAsia="宋体" w:cs="Times New Roman"/>
          <w:color w:val="auto"/>
          <w:kern w:val="2"/>
          <w:sz w:val="24"/>
          <w:szCs w:val="20"/>
          <w:highlight w:val="yellow"/>
          <w:lang w:val="en-US" w:eastAsia="zh-CN" w:bidi="ar-SA"/>
        </w:rPr>
        <w:t>10.2若本工程通过验收达到遂宁市市级优质结构工程，甲方</w:t>
      </w:r>
      <w:r>
        <w:rPr>
          <w:rFonts w:hint="eastAsia" w:cs="Times New Roman"/>
          <w:color w:val="auto"/>
          <w:kern w:val="2"/>
          <w:sz w:val="24"/>
          <w:szCs w:val="20"/>
          <w:highlight w:val="yellow"/>
          <w:lang w:val="en-US" w:eastAsia="zh-CN" w:bidi="ar-SA"/>
        </w:rPr>
        <w:t>向乙方</w:t>
      </w:r>
      <w:r>
        <w:rPr>
          <w:rFonts w:hint="eastAsia" w:ascii="Times New Roman" w:hAnsi="Times New Roman" w:eastAsia="宋体" w:cs="Times New Roman"/>
          <w:color w:val="auto"/>
          <w:kern w:val="2"/>
          <w:sz w:val="24"/>
          <w:szCs w:val="20"/>
          <w:highlight w:val="yellow"/>
          <w:lang w:val="en-US" w:eastAsia="zh-CN" w:bidi="ar-SA"/>
        </w:rPr>
        <w:t>按</w:t>
      </w:r>
      <w:r>
        <w:rPr>
          <w:rFonts w:hint="eastAsia" w:cs="Times New Roman"/>
          <w:color w:val="auto"/>
          <w:kern w:val="2"/>
          <w:sz w:val="24"/>
          <w:szCs w:val="20"/>
          <w:highlight w:val="yellow"/>
          <w:lang w:val="en-US" w:eastAsia="zh-CN" w:bidi="ar-SA"/>
        </w:rPr>
        <w:t>其最终结算劳务总价</w:t>
      </w:r>
      <w:r>
        <w:rPr>
          <w:rFonts w:hint="eastAsia" w:ascii="Times New Roman" w:hAnsi="Times New Roman" w:eastAsia="宋体" w:cs="Times New Roman"/>
          <w:color w:val="auto"/>
          <w:kern w:val="2"/>
          <w:sz w:val="24"/>
          <w:szCs w:val="20"/>
          <w:highlight w:val="yellow"/>
          <w:lang w:val="en-US" w:eastAsia="zh-CN" w:bidi="ar-SA"/>
        </w:rPr>
        <w:t>的2%向乙方支付优质结构费用</w:t>
      </w:r>
      <w:r>
        <w:rPr>
          <w:rFonts w:hint="eastAsia" w:cs="Times New Roman"/>
          <w:color w:val="auto"/>
          <w:kern w:val="2"/>
          <w:sz w:val="24"/>
          <w:szCs w:val="20"/>
          <w:highlight w:val="yellow"/>
          <w:lang w:val="en-US" w:eastAsia="zh-CN" w:bidi="ar-SA"/>
        </w:rPr>
        <w:t>（按单项计取创优创奖费用）。</w:t>
      </w:r>
    </w:p>
    <w:p w14:paraId="77AFB35F">
      <w:pPr>
        <w:pStyle w:val="2"/>
        <w:keepNext w:val="0"/>
        <w:keepLines w:val="0"/>
        <w:pageBreakBefore w:val="0"/>
        <w:widowControl/>
        <w:kinsoku/>
        <w:wordWrap/>
        <w:overflowPunct/>
        <w:topLinePunct w:val="0"/>
        <w:autoSpaceDE/>
        <w:autoSpaceDN/>
        <w:bidi w:val="0"/>
        <w:adjustRightInd/>
        <w:snapToGrid/>
        <w:spacing w:line="360" w:lineRule="auto"/>
        <w:ind w:right="-119" w:firstLine="480" w:firstLineChars="200"/>
        <w:jc w:val="left"/>
        <w:textAlignment w:val="baseline"/>
        <w:rPr>
          <w:rFonts w:hint="eastAsia" w:ascii="Times New Roman" w:hAnsi="Times New Roman" w:eastAsia="宋体" w:cs="Times New Roman"/>
          <w:color w:val="auto"/>
          <w:kern w:val="2"/>
          <w:sz w:val="24"/>
          <w:szCs w:val="20"/>
          <w:highlight w:val="yellow"/>
          <w:lang w:val="en-US" w:eastAsia="zh-CN" w:bidi="ar-SA"/>
        </w:rPr>
      </w:pPr>
      <w:r>
        <w:rPr>
          <w:rFonts w:hint="eastAsia" w:ascii="Times New Roman" w:hAnsi="Times New Roman" w:eastAsia="宋体" w:cs="Times New Roman"/>
          <w:color w:val="auto"/>
          <w:kern w:val="2"/>
          <w:sz w:val="24"/>
          <w:szCs w:val="20"/>
          <w:highlight w:val="yellow"/>
          <w:lang w:val="en-US" w:eastAsia="zh-CN" w:bidi="ar-SA"/>
        </w:rPr>
        <w:t>10.3若工程通过验收达到遂宁市市级安全文明施工标准，甲方</w:t>
      </w:r>
      <w:r>
        <w:rPr>
          <w:rFonts w:hint="eastAsia" w:cs="Times New Roman"/>
          <w:color w:val="auto"/>
          <w:kern w:val="2"/>
          <w:sz w:val="24"/>
          <w:szCs w:val="20"/>
          <w:highlight w:val="yellow"/>
          <w:lang w:val="en-US" w:eastAsia="zh-CN" w:bidi="ar-SA"/>
        </w:rPr>
        <w:t>向乙方</w:t>
      </w:r>
      <w:r>
        <w:rPr>
          <w:rFonts w:hint="eastAsia" w:ascii="Times New Roman" w:hAnsi="Times New Roman" w:eastAsia="宋体" w:cs="Times New Roman"/>
          <w:color w:val="auto"/>
          <w:kern w:val="2"/>
          <w:sz w:val="24"/>
          <w:szCs w:val="20"/>
          <w:highlight w:val="yellow"/>
          <w:lang w:val="en-US" w:eastAsia="zh-CN" w:bidi="ar-SA"/>
        </w:rPr>
        <w:t>按</w:t>
      </w:r>
      <w:r>
        <w:rPr>
          <w:rFonts w:hint="eastAsia" w:cs="Times New Roman"/>
          <w:color w:val="auto"/>
          <w:kern w:val="2"/>
          <w:sz w:val="24"/>
          <w:szCs w:val="20"/>
          <w:highlight w:val="yellow"/>
          <w:lang w:val="en-US" w:eastAsia="zh-CN" w:bidi="ar-SA"/>
        </w:rPr>
        <w:t>其最终结算劳务总价</w:t>
      </w:r>
      <w:r>
        <w:rPr>
          <w:rFonts w:hint="eastAsia" w:ascii="Times New Roman" w:hAnsi="Times New Roman" w:eastAsia="宋体" w:cs="Times New Roman"/>
          <w:color w:val="auto"/>
          <w:kern w:val="2"/>
          <w:sz w:val="24"/>
          <w:szCs w:val="20"/>
          <w:highlight w:val="yellow"/>
          <w:lang w:val="en-US" w:eastAsia="zh-CN" w:bidi="ar-SA"/>
        </w:rPr>
        <w:t>的2%向乙方支付安全文明施工费用</w:t>
      </w:r>
      <w:r>
        <w:rPr>
          <w:rFonts w:hint="eastAsia" w:cs="Times New Roman"/>
          <w:color w:val="auto"/>
          <w:kern w:val="2"/>
          <w:sz w:val="24"/>
          <w:szCs w:val="20"/>
          <w:highlight w:val="yellow"/>
          <w:lang w:val="en-US" w:eastAsia="zh-CN" w:bidi="ar-SA"/>
        </w:rPr>
        <w:t>（按单项计取创优创奖费用）。</w:t>
      </w:r>
    </w:p>
    <w:p w14:paraId="1386676D">
      <w:pPr>
        <w:pStyle w:val="2"/>
        <w:keepNext w:val="0"/>
        <w:keepLines w:val="0"/>
        <w:pageBreakBefore w:val="0"/>
        <w:widowControl/>
        <w:kinsoku/>
        <w:wordWrap/>
        <w:overflowPunct/>
        <w:topLinePunct w:val="0"/>
        <w:autoSpaceDE/>
        <w:autoSpaceDN/>
        <w:bidi w:val="0"/>
        <w:adjustRightInd/>
        <w:snapToGrid/>
        <w:spacing w:line="360" w:lineRule="auto"/>
        <w:ind w:right="-119" w:firstLine="480" w:firstLineChars="200"/>
        <w:jc w:val="left"/>
        <w:textAlignment w:val="baseline"/>
        <w:rPr>
          <w:rFonts w:hint="eastAsia" w:ascii="Times New Roman" w:hAnsi="Times New Roman" w:eastAsia="宋体" w:cs="Times New Roman"/>
          <w:color w:val="auto"/>
          <w:kern w:val="2"/>
          <w:sz w:val="24"/>
          <w:szCs w:val="20"/>
          <w:highlight w:val="yellow"/>
          <w:lang w:val="en-US" w:eastAsia="zh-CN" w:bidi="ar-SA"/>
        </w:rPr>
      </w:pPr>
      <w:r>
        <w:rPr>
          <w:rFonts w:hint="eastAsia" w:ascii="Times New Roman" w:hAnsi="Times New Roman" w:eastAsia="宋体" w:cs="Times New Roman"/>
          <w:color w:val="auto"/>
          <w:kern w:val="2"/>
          <w:sz w:val="24"/>
          <w:szCs w:val="20"/>
          <w:highlight w:val="yellow"/>
          <w:lang w:val="en-US" w:eastAsia="zh-CN" w:bidi="ar-SA"/>
        </w:rPr>
        <w:t>10.4若工程通过验收达到四川省省级安全文明标准化工地，甲方按施工总合同清单分部分项工程费及措施费的2.0%向乙方支付省级安全文明施工费用（省安全文明标化工地费用1851952.04元，以上金额取费基价为遂宁市安居区冷链物流中心及配套设施建设项目清单价格《分部分项费用+单价措施费用》</w:t>
      </w:r>
      <w:r>
        <w:rPr>
          <w:rFonts w:hint="eastAsia" w:cs="Times New Roman"/>
          <w:color w:val="auto"/>
          <w:kern w:val="2"/>
          <w:sz w:val="24"/>
          <w:szCs w:val="20"/>
          <w:highlight w:val="yellow"/>
          <w:lang w:val="en-US" w:eastAsia="zh-CN" w:bidi="ar-SA"/>
        </w:rPr>
        <w:t>，其中10.2条、10.3条创优创奖费用已包含在10.4条费用，不在重复计取。</w:t>
      </w:r>
    </w:p>
    <w:p w14:paraId="5E09487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rPr>
          <w:rFonts w:hint="eastAsia" w:ascii="Times New Roman" w:hAnsi="Times New Roman" w:eastAsia="宋体" w:cs="Times New Roman"/>
          <w:color w:val="auto"/>
          <w:kern w:val="2"/>
          <w:sz w:val="24"/>
          <w:szCs w:val="20"/>
          <w:highlight w:val="yellow"/>
          <w:lang w:val="en-US" w:eastAsia="zh-CN" w:bidi="ar-SA"/>
        </w:rPr>
      </w:pPr>
      <w:r>
        <w:rPr>
          <w:rFonts w:hint="eastAsia" w:ascii="Times New Roman" w:hAnsi="Times New Roman" w:eastAsia="宋体" w:cs="Times New Roman"/>
          <w:color w:val="auto"/>
          <w:kern w:val="2"/>
          <w:sz w:val="24"/>
          <w:szCs w:val="20"/>
          <w:highlight w:val="yellow"/>
          <w:lang w:val="en-US" w:eastAsia="zh-CN" w:bidi="ar-SA"/>
        </w:rPr>
        <w:t>10.5若工程通过验收同时达到四川省省级优质结构工程和四川省省级安全文明标准化工地，甲方按施工总合同清单分部分项工程费及措施费的2.5%向乙方支付省级优质结构、省级安全文明标准化工地费用。（省优质结构、省安全文明标化工地费用2314940.05元，以上金额取费基价为遂宁市安居区冷链物流中心及配套设施建设项目清单价格《分部分项费用+单价措施费用》</w:t>
      </w:r>
      <w:r>
        <w:rPr>
          <w:rFonts w:hint="eastAsia" w:cs="Times New Roman"/>
          <w:color w:val="auto"/>
          <w:kern w:val="2"/>
          <w:sz w:val="24"/>
          <w:szCs w:val="20"/>
          <w:highlight w:val="yellow"/>
          <w:lang w:val="en-US" w:eastAsia="zh-CN" w:bidi="ar-SA"/>
        </w:rPr>
        <w:t>。</w:t>
      </w:r>
      <w:r>
        <w:rPr>
          <w:rFonts w:hint="eastAsia" w:ascii="Times New Roman" w:hAnsi="Times New Roman" w:eastAsia="宋体" w:cs="Times New Roman"/>
          <w:color w:val="auto"/>
          <w:kern w:val="2"/>
          <w:sz w:val="24"/>
          <w:szCs w:val="20"/>
          <w:highlight w:val="yellow"/>
          <w:lang w:val="en-US" w:eastAsia="zh-CN" w:bidi="ar-SA"/>
        </w:rPr>
        <w:t>（</w:t>
      </w:r>
      <w:r>
        <w:rPr>
          <w:rFonts w:hint="eastAsia" w:cs="Times New Roman"/>
          <w:color w:val="auto"/>
          <w:kern w:val="2"/>
          <w:sz w:val="24"/>
          <w:szCs w:val="20"/>
          <w:highlight w:val="yellow"/>
          <w:lang w:val="en-US" w:eastAsia="zh-CN" w:bidi="ar-SA"/>
        </w:rPr>
        <w:t>其中10.2条、10.3条、10.4条创优创奖费用已包含在10.5条费用，不在重复计取</w:t>
      </w:r>
      <w:r>
        <w:rPr>
          <w:rFonts w:hint="eastAsia" w:ascii="Times New Roman" w:hAnsi="Times New Roman" w:eastAsia="宋体" w:cs="Times New Roman"/>
          <w:color w:val="auto"/>
          <w:kern w:val="2"/>
          <w:sz w:val="24"/>
          <w:szCs w:val="20"/>
          <w:highlight w:val="yellow"/>
          <w:lang w:val="en-US" w:eastAsia="zh-CN" w:bidi="ar-SA"/>
        </w:rPr>
        <w:t>）</w:t>
      </w:r>
    </w:p>
    <w:p w14:paraId="6940CBAC">
      <w:pPr>
        <w:pStyle w:val="2"/>
        <w:keepNext w:val="0"/>
        <w:keepLines w:val="0"/>
        <w:pageBreakBefore w:val="0"/>
        <w:widowControl/>
        <w:kinsoku/>
        <w:wordWrap/>
        <w:overflowPunct/>
        <w:topLinePunct w:val="0"/>
        <w:autoSpaceDE/>
        <w:autoSpaceDN/>
        <w:bidi w:val="0"/>
        <w:adjustRightInd/>
        <w:snapToGrid/>
        <w:spacing w:line="360" w:lineRule="auto"/>
        <w:ind w:right="-119" w:firstLine="480" w:firstLineChars="200"/>
        <w:jc w:val="left"/>
        <w:textAlignment w:val="baseline"/>
        <w:rPr>
          <w:rFonts w:hint="default" w:ascii="Times New Roman" w:hAnsi="Times New Roman" w:eastAsia="宋体" w:cs="Times New Roman"/>
          <w:color w:val="auto"/>
          <w:kern w:val="2"/>
          <w:sz w:val="24"/>
          <w:szCs w:val="20"/>
          <w:highlight w:val="yellow"/>
          <w:lang w:val="en-US" w:eastAsia="zh-CN" w:bidi="ar-SA"/>
        </w:rPr>
      </w:pPr>
      <w:r>
        <w:rPr>
          <w:rFonts w:hint="eastAsia" w:ascii="Times New Roman" w:hAnsi="Times New Roman" w:eastAsia="宋体" w:cs="Times New Roman"/>
          <w:color w:val="auto"/>
          <w:kern w:val="2"/>
          <w:sz w:val="24"/>
          <w:szCs w:val="20"/>
          <w:highlight w:val="yellow"/>
          <w:lang w:val="en-US" w:eastAsia="zh-CN" w:bidi="ar-SA"/>
        </w:rPr>
        <w:t>10.6若工程未能达到上述任何一项标准，乙方需承担甲方创省、市安全文明标准化工地及优质结构工程已投入的安全文明施工专项费用的，范围包括但不限于广告宣传费、活动板房建设费、临时设施及项目永久性建筑以外的其他全部相关费用 。该费用的具体核算以甲方确认的安全文明施工专项费用台账为准，乙方</w:t>
      </w:r>
      <w:r>
        <w:rPr>
          <w:rFonts w:hint="eastAsia" w:cs="Times New Roman"/>
          <w:color w:val="auto"/>
          <w:kern w:val="2"/>
          <w:sz w:val="24"/>
          <w:szCs w:val="20"/>
          <w:highlight w:val="yellow"/>
          <w:lang w:val="en-US" w:eastAsia="zh-CN" w:bidi="ar-SA"/>
        </w:rPr>
        <w:t>承诺</w:t>
      </w:r>
      <w:r>
        <w:rPr>
          <w:rFonts w:hint="eastAsia" w:ascii="Times New Roman" w:hAnsi="Times New Roman" w:eastAsia="宋体" w:cs="Times New Roman"/>
          <w:color w:val="auto"/>
          <w:kern w:val="2"/>
          <w:sz w:val="24"/>
          <w:szCs w:val="20"/>
          <w:highlight w:val="yellow"/>
          <w:lang w:val="en-US" w:eastAsia="zh-CN" w:bidi="ar-SA"/>
        </w:rPr>
        <w:t>对此无异议。</w:t>
      </w:r>
    </w:p>
    <w:p w14:paraId="52176E9D">
      <w:pPr>
        <w:pStyle w:val="5"/>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0" w:leftChars="0" w:firstLine="480" w:firstLineChars="200"/>
        <w:rPr>
          <w:rFonts w:ascii="Times New Roman" w:hAnsi="Times New Roman" w:eastAsia="宋体" w:cs="Times New Roman"/>
          <w:color w:val="auto"/>
          <w:highlight w:val="none"/>
        </w:rPr>
      </w:pPr>
      <w:r>
        <w:rPr>
          <w:rFonts w:hint="eastAsia"/>
          <w:color w:val="auto"/>
          <w:highlight w:val="none"/>
          <w:lang w:val="en-US" w:eastAsia="zh-CN"/>
        </w:rPr>
        <w:t>11.</w:t>
      </w:r>
      <w:r>
        <w:rPr>
          <w:color w:val="auto"/>
          <w:highlight w:val="none"/>
        </w:rPr>
        <w:t>中标单位进入工地现场，进行</w:t>
      </w:r>
      <w:r>
        <w:rPr>
          <w:rFonts w:hint="eastAsia"/>
          <w:color w:val="auto"/>
          <w:highlight w:val="none"/>
          <w:lang w:val="en-US" w:eastAsia="zh-CN"/>
        </w:rPr>
        <w:t>工程</w:t>
      </w:r>
      <w:r>
        <w:rPr>
          <w:color w:val="auto"/>
          <w:highlight w:val="none"/>
        </w:rPr>
        <w:t>施工，如工程量发生变化，不论工程量增加或减少，中标单位都必须无条件服从，不得以任何理由向甲方进行索赔。</w:t>
      </w:r>
    </w:p>
    <w:p w14:paraId="0541F011">
      <w:pPr>
        <w:pStyle w:val="5"/>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0" w:leftChars="0" w:firstLine="480" w:firstLineChars="200"/>
        <w:rPr>
          <w:highlight w:val="none"/>
        </w:rPr>
      </w:pPr>
      <w:r>
        <w:rPr>
          <w:rFonts w:hint="eastAsia" w:cs="Times New Roman"/>
          <w:color w:val="auto"/>
          <w:highlight w:val="none"/>
          <w:lang w:val="en-US" w:eastAsia="zh-CN"/>
        </w:rPr>
        <w:t>12.</w:t>
      </w:r>
      <w:r>
        <w:rPr>
          <w:rFonts w:ascii="Times New Roman" w:hAnsi="Times New Roman" w:eastAsia="宋体" w:cs="Times New Roman"/>
          <w:color w:val="auto"/>
          <w:highlight w:val="none"/>
        </w:rPr>
        <w:t>请愿意参加本次报价的单位于</w:t>
      </w:r>
      <w:r>
        <w:rPr>
          <w:rFonts w:hint="eastAsia" w:cs="Times New Roman"/>
          <w:color w:val="auto"/>
          <w:highlight w:val="none"/>
          <w:lang w:val="en-US" w:eastAsia="zh-CN"/>
        </w:rPr>
        <w:t>2025</w:t>
      </w:r>
      <w:r>
        <w:rPr>
          <w:rFonts w:ascii="Times New Roman" w:hAnsi="Times New Roman" w:eastAsia="宋体" w:cs="Times New Roman"/>
          <w:color w:val="auto"/>
          <w:highlight w:val="none"/>
        </w:rPr>
        <w:t>年</w:t>
      </w:r>
      <w:r>
        <w:rPr>
          <w:rFonts w:hint="eastAsia" w:cs="Times New Roman"/>
          <w:color w:val="auto"/>
          <w:highlight w:val="none"/>
          <w:lang w:val="en-US" w:eastAsia="zh-CN"/>
        </w:rPr>
        <w:t>6</w:t>
      </w:r>
      <w:r>
        <w:rPr>
          <w:rFonts w:ascii="Times New Roman" w:hAnsi="Times New Roman" w:eastAsia="宋体" w:cs="Times New Roman"/>
          <w:color w:val="auto"/>
          <w:highlight w:val="none"/>
        </w:rPr>
        <w:t>月</w:t>
      </w:r>
      <w:r>
        <w:rPr>
          <w:rFonts w:hint="eastAsia" w:cs="Times New Roman"/>
          <w:color w:val="auto"/>
          <w:highlight w:val="none"/>
          <w:lang w:val="en-US" w:eastAsia="zh-CN"/>
        </w:rPr>
        <w:t>9</w:t>
      </w:r>
      <w:r>
        <w:rPr>
          <w:rFonts w:ascii="Times New Roman" w:hAnsi="Times New Roman" w:eastAsia="宋体" w:cs="Times New Roman"/>
          <w:color w:val="auto"/>
          <w:highlight w:val="none"/>
        </w:rPr>
        <w:t>日</w:t>
      </w:r>
      <w:r>
        <w:rPr>
          <w:rFonts w:hint="eastAsia" w:cs="Times New Roman"/>
          <w:color w:val="auto"/>
          <w:highlight w:val="none"/>
          <w:lang w:val="en-US" w:eastAsia="zh-CN"/>
        </w:rPr>
        <w:t>上午10</w:t>
      </w:r>
      <w:r>
        <w:rPr>
          <w:rFonts w:ascii="Times New Roman" w:hAnsi="Times New Roman" w:eastAsia="宋体" w:cs="Times New Roman"/>
          <w:color w:val="auto"/>
          <w:highlight w:val="none"/>
        </w:rPr>
        <w:t>点前将加盖企业鲜章的投标文件递交我司</w:t>
      </w:r>
      <w:r>
        <w:rPr>
          <w:rFonts w:hint="eastAsia" w:ascii="Times New Roman" w:hAnsi="Times New Roman" w:eastAsia="宋体" w:cs="Times New Roman"/>
          <w:color w:val="auto"/>
          <w:highlight w:val="none"/>
        </w:rPr>
        <w:t>(如需图纸请提前自行带U盘来公司拷贝)</w:t>
      </w:r>
      <w:r>
        <w:rPr>
          <w:rFonts w:ascii="Times New Roman" w:hAnsi="Times New Roman" w:eastAsia="宋体" w:cs="Times New Roman"/>
          <w:color w:val="auto"/>
          <w:highlight w:val="none"/>
        </w:rPr>
        <w:t>。递交地址：遂宁市安居区黄林路190号凤凰半岛三期一层商铺。我公司将于</w:t>
      </w:r>
      <w:r>
        <w:rPr>
          <w:rFonts w:hint="eastAsia" w:cs="Times New Roman"/>
          <w:color w:val="auto"/>
          <w:highlight w:val="none"/>
          <w:lang w:val="en-US" w:eastAsia="zh-CN"/>
        </w:rPr>
        <w:t>2025</w:t>
      </w:r>
      <w:r>
        <w:rPr>
          <w:rFonts w:ascii="Times New Roman" w:hAnsi="Times New Roman" w:eastAsia="宋体" w:cs="Times New Roman"/>
          <w:color w:val="auto"/>
          <w:highlight w:val="none"/>
        </w:rPr>
        <w:t>年</w:t>
      </w:r>
      <w:r>
        <w:rPr>
          <w:rFonts w:hint="eastAsia" w:cs="Times New Roman"/>
          <w:color w:val="auto"/>
          <w:highlight w:val="none"/>
          <w:lang w:val="en-US" w:eastAsia="zh-CN"/>
        </w:rPr>
        <w:t>6</w:t>
      </w:r>
      <w:r>
        <w:rPr>
          <w:rFonts w:ascii="Times New Roman" w:hAnsi="Times New Roman" w:eastAsia="宋体" w:cs="Times New Roman"/>
          <w:color w:val="auto"/>
          <w:highlight w:val="none"/>
        </w:rPr>
        <w:t>月</w:t>
      </w:r>
      <w:r>
        <w:rPr>
          <w:rFonts w:hint="eastAsia" w:cs="Times New Roman"/>
          <w:color w:val="auto"/>
          <w:highlight w:val="none"/>
          <w:lang w:val="en-US" w:eastAsia="zh-CN"/>
        </w:rPr>
        <w:t>9</w:t>
      </w:r>
      <w:r>
        <w:rPr>
          <w:rFonts w:ascii="Times New Roman" w:hAnsi="Times New Roman" w:eastAsia="宋体" w:cs="Times New Roman"/>
          <w:color w:val="auto"/>
          <w:highlight w:val="none"/>
        </w:rPr>
        <w:t>日</w:t>
      </w:r>
      <w:r>
        <w:rPr>
          <w:rFonts w:hint="eastAsia" w:cs="Times New Roman"/>
          <w:color w:val="auto"/>
          <w:highlight w:val="none"/>
          <w:lang w:val="en-US" w:eastAsia="zh-CN"/>
        </w:rPr>
        <w:t>10</w:t>
      </w:r>
      <w:r>
        <w:rPr>
          <w:rFonts w:ascii="Times New Roman" w:hAnsi="Times New Roman" w:eastAsia="宋体" w:cs="Times New Roman"/>
          <w:color w:val="auto"/>
          <w:highlight w:val="none"/>
        </w:rPr>
        <w:t>点在鹏安公司</w:t>
      </w:r>
      <w:r>
        <w:rPr>
          <w:rFonts w:hint="eastAsia" w:cs="Times New Roman"/>
          <w:color w:val="auto"/>
          <w:highlight w:val="none"/>
          <w:lang w:val="en-US" w:eastAsia="zh-CN"/>
        </w:rPr>
        <w:t>二楼</w:t>
      </w:r>
      <w:r>
        <w:rPr>
          <w:rFonts w:ascii="Times New Roman" w:hAnsi="Times New Roman" w:eastAsia="宋体" w:cs="Times New Roman"/>
          <w:color w:val="auto"/>
          <w:highlight w:val="none"/>
        </w:rPr>
        <w:t>会议室统一拆封所有报价资料，报价单位必须到场参加。未现场递交或逾期递交视为自动放弃（若开选时，参选单位不足三家或资格审查通过单位不足三家，则视为本次比选无效</w:t>
      </w:r>
      <w:r>
        <w:rPr>
          <w:rFonts w:hint="eastAsia" w:cs="Times New Roman"/>
          <w:color w:val="auto"/>
          <w:highlight w:val="none"/>
          <w:lang w:eastAsia="zh-CN"/>
        </w:rPr>
        <w:t>；</w:t>
      </w:r>
      <w:r>
        <w:rPr>
          <w:rFonts w:ascii="Times New Roman" w:hAnsi="Times New Roman" w:eastAsia="宋体" w:cs="Times New Roman"/>
          <w:color w:val="auto"/>
          <w:highlight w:val="none"/>
        </w:rPr>
        <w:t>联系人：唐先生，联系电话：</w:t>
      </w:r>
      <w:r>
        <w:rPr>
          <w:rFonts w:hint="eastAsia" w:ascii="Times New Roman" w:hAnsi="Times New Roman" w:eastAsia="宋体" w:cs="Times New Roman"/>
          <w:color w:val="auto"/>
          <w:highlight w:val="none"/>
          <w:lang w:val="en-US" w:eastAsia="zh-CN"/>
        </w:rPr>
        <w:t>（0825）8663232</w:t>
      </w:r>
      <w:r>
        <w:rPr>
          <w:rFonts w:hint="eastAsia" w:cs="Times New Roman"/>
          <w:color w:val="auto"/>
          <w:highlight w:val="none"/>
          <w:lang w:val="en-US" w:eastAsia="zh-CN"/>
        </w:rPr>
        <w:t>。</w:t>
      </w:r>
    </w:p>
    <w:p w14:paraId="1FFD3DD3">
      <w:pPr>
        <w:pStyle w:val="3"/>
        <w:keepNext w:val="0"/>
        <w:keepLines w:val="0"/>
        <w:pageBreakBefore w:val="0"/>
        <w:numPr>
          <w:ilvl w:val="0"/>
          <w:numId w:val="1"/>
        </w:numPr>
        <w:kinsoku/>
        <w:wordWrap/>
        <w:overflowPunct/>
        <w:topLinePunct w:val="0"/>
        <w:autoSpaceDE/>
        <w:autoSpaceDN/>
        <w:bidi w:val="0"/>
        <w:adjustRightInd/>
        <w:snapToGrid/>
        <w:spacing w:line="360" w:lineRule="auto"/>
        <w:ind w:left="0" w:leftChars="0" w:firstLine="482" w:firstLineChars="200"/>
        <w:rPr>
          <w:b/>
          <w:color w:val="auto"/>
          <w:highlight w:val="none"/>
        </w:rPr>
      </w:pPr>
      <w:r>
        <w:rPr>
          <w:color w:val="auto"/>
          <w:highlight w:val="none"/>
        </w:rPr>
        <w:t>标书要求及组成：</w:t>
      </w:r>
    </w:p>
    <w:p w14:paraId="3ED1F12E">
      <w:pPr>
        <w:pStyle w:val="4"/>
        <w:keepNext w:val="0"/>
        <w:keepLines w:val="0"/>
        <w:pageBreakBefore w:val="0"/>
        <w:numPr>
          <w:ilvl w:val="0"/>
          <w:numId w:val="5"/>
        </w:numPr>
        <w:kinsoku/>
        <w:wordWrap/>
        <w:overflowPunct/>
        <w:topLinePunct w:val="0"/>
        <w:autoSpaceDE/>
        <w:autoSpaceDN/>
        <w:bidi w:val="0"/>
        <w:adjustRightInd/>
        <w:snapToGrid/>
        <w:spacing w:line="360" w:lineRule="auto"/>
        <w:ind w:left="0" w:leftChars="0" w:firstLine="482" w:firstLineChars="200"/>
        <w:rPr>
          <w:b/>
          <w:color w:val="auto"/>
          <w:highlight w:val="none"/>
        </w:rPr>
      </w:pPr>
      <w:r>
        <w:rPr>
          <w:color w:val="auto"/>
          <w:highlight w:val="none"/>
        </w:rPr>
        <w:t>标书要求</w:t>
      </w:r>
    </w:p>
    <w:p w14:paraId="2E2B3F33">
      <w:pPr>
        <w:pStyle w:val="5"/>
        <w:keepNext w:val="0"/>
        <w:keepLines w:val="0"/>
        <w:pageBreakBefore w:val="0"/>
        <w:numPr>
          <w:ilvl w:val="0"/>
          <w:numId w:val="6"/>
        </w:numPr>
        <w:kinsoku/>
        <w:wordWrap/>
        <w:overflowPunct/>
        <w:topLinePunct w:val="0"/>
        <w:autoSpaceDE/>
        <w:autoSpaceDN/>
        <w:bidi w:val="0"/>
        <w:adjustRightInd/>
        <w:snapToGrid/>
        <w:spacing w:line="360" w:lineRule="auto"/>
        <w:ind w:left="0" w:leftChars="0" w:firstLine="480" w:firstLineChars="200"/>
        <w:rPr>
          <w:b w:val="0"/>
          <w:color w:val="auto"/>
          <w:highlight w:val="none"/>
        </w:rPr>
      </w:pPr>
      <w:r>
        <w:rPr>
          <w:color w:val="auto"/>
          <w:highlight w:val="none"/>
        </w:rPr>
        <w:t>投标文件封面需注明项目名称，公司法人或授权人签字盖章，注明时间；</w:t>
      </w:r>
    </w:p>
    <w:p w14:paraId="54D8FDE2">
      <w:pPr>
        <w:pStyle w:val="5"/>
        <w:keepNext w:val="0"/>
        <w:keepLines w:val="0"/>
        <w:pageBreakBefore w:val="0"/>
        <w:numPr>
          <w:ilvl w:val="0"/>
          <w:numId w:val="6"/>
        </w:numPr>
        <w:kinsoku/>
        <w:wordWrap/>
        <w:overflowPunct/>
        <w:topLinePunct w:val="0"/>
        <w:autoSpaceDE/>
        <w:autoSpaceDN/>
        <w:bidi w:val="0"/>
        <w:adjustRightInd/>
        <w:snapToGrid/>
        <w:spacing w:line="360" w:lineRule="auto"/>
        <w:ind w:left="0" w:leftChars="0" w:firstLine="480" w:firstLineChars="200"/>
        <w:rPr>
          <w:b w:val="0"/>
          <w:color w:val="auto"/>
          <w:highlight w:val="none"/>
        </w:rPr>
      </w:pPr>
      <w:r>
        <w:rPr>
          <w:color w:val="auto"/>
          <w:highlight w:val="none"/>
        </w:rPr>
        <w:t>标书密封：投标文件用文件袋装好，在文件袋封面上写明投标项目名称，投标公司全称、联系人及联系方式，加盖投标人公章，并在封口处加盖投标人公章或贴上投标人专用封条，确保标书不被篡改或泄露；</w:t>
      </w:r>
    </w:p>
    <w:p w14:paraId="6DBE6B2A">
      <w:pPr>
        <w:pStyle w:val="5"/>
        <w:keepNext w:val="0"/>
        <w:keepLines w:val="0"/>
        <w:pageBreakBefore w:val="0"/>
        <w:numPr>
          <w:ilvl w:val="0"/>
          <w:numId w:val="6"/>
        </w:numPr>
        <w:kinsoku/>
        <w:wordWrap/>
        <w:overflowPunct/>
        <w:topLinePunct w:val="0"/>
        <w:autoSpaceDE/>
        <w:autoSpaceDN/>
        <w:bidi w:val="0"/>
        <w:adjustRightInd/>
        <w:snapToGrid/>
        <w:spacing w:line="360" w:lineRule="auto"/>
        <w:ind w:left="0" w:leftChars="0" w:firstLine="480" w:firstLineChars="200"/>
        <w:rPr>
          <w:b w:val="0"/>
          <w:color w:val="auto"/>
          <w:highlight w:val="none"/>
        </w:rPr>
      </w:pPr>
      <w:r>
        <w:rPr>
          <w:rFonts w:hint="eastAsia"/>
          <w:b w:val="0"/>
          <w:color w:val="auto"/>
          <w:highlight w:val="none"/>
          <w:lang w:val="en-US" w:eastAsia="zh-CN"/>
        </w:rPr>
        <w:t>投标文件中所有资料需加盖鲜章。</w:t>
      </w:r>
    </w:p>
    <w:p w14:paraId="139D8116">
      <w:pPr>
        <w:pStyle w:val="4"/>
        <w:keepNext w:val="0"/>
        <w:keepLines w:val="0"/>
        <w:pageBreakBefore w:val="0"/>
        <w:numPr>
          <w:ilvl w:val="0"/>
          <w:numId w:val="5"/>
        </w:numPr>
        <w:kinsoku/>
        <w:wordWrap/>
        <w:overflowPunct/>
        <w:topLinePunct w:val="0"/>
        <w:autoSpaceDE/>
        <w:autoSpaceDN/>
        <w:bidi w:val="0"/>
        <w:adjustRightInd/>
        <w:snapToGrid/>
        <w:spacing w:line="360" w:lineRule="auto"/>
        <w:ind w:left="0" w:leftChars="0" w:firstLine="482" w:firstLineChars="200"/>
        <w:rPr>
          <w:b/>
          <w:color w:val="auto"/>
          <w:highlight w:val="none"/>
        </w:rPr>
      </w:pPr>
      <w:r>
        <w:rPr>
          <w:color w:val="auto"/>
          <w:highlight w:val="none"/>
        </w:rPr>
        <w:t>投标文件组成要求</w:t>
      </w:r>
    </w:p>
    <w:p w14:paraId="4012FEBF">
      <w:pPr>
        <w:pStyle w:val="5"/>
        <w:keepNext w:val="0"/>
        <w:keepLines w:val="0"/>
        <w:pageBreakBefore w:val="0"/>
        <w:numPr>
          <w:ilvl w:val="0"/>
          <w:numId w:val="7"/>
        </w:numPr>
        <w:kinsoku/>
        <w:wordWrap/>
        <w:overflowPunct/>
        <w:topLinePunct w:val="0"/>
        <w:autoSpaceDE/>
        <w:autoSpaceDN/>
        <w:bidi w:val="0"/>
        <w:adjustRightInd/>
        <w:snapToGrid/>
        <w:spacing w:line="360" w:lineRule="auto"/>
        <w:ind w:left="0" w:leftChars="0" w:firstLine="480" w:firstLineChars="200"/>
        <w:rPr>
          <w:b w:val="0"/>
          <w:color w:val="auto"/>
          <w:highlight w:val="none"/>
        </w:rPr>
      </w:pPr>
      <w:r>
        <w:rPr>
          <w:color w:val="auto"/>
          <w:highlight w:val="none"/>
          <w:u w:val="none"/>
        </w:rPr>
        <w:t>项目报价表</w:t>
      </w:r>
      <w:r>
        <w:rPr>
          <w:rFonts w:hint="eastAsia"/>
          <w:color w:val="auto"/>
          <w:highlight w:val="none"/>
          <w:u w:val="none"/>
          <w:lang w:eastAsia="zh-CN"/>
        </w:rPr>
        <w:t>；</w:t>
      </w:r>
    </w:p>
    <w:p w14:paraId="3E797775">
      <w:pPr>
        <w:pStyle w:val="5"/>
        <w:keepNext w:val="0"/>
        <w:keepLines w:val="0"/>
        <w:pageBreakBefore w:val="0"/>
        <w:numPr>
          <w:ilvl w:val="0"/>
          <w:numId w:val="7"/>
        </w:numPr>
        <w:kinsoku/>
        <w:wordWrap/>
        <w:overflowPunct/>
        <w:topLinePunct w:val="0"/>
        <w:autoSpaceDE/>
        <w:autoSpaceDN/>
        <w:bidi w:val="0"/>
        <w:adjustRightInd/>
        <w:snapToGrid/>
        <w:spacing w:line="360" w:lineRule="auto"/>
        <w:ind w:left="0" w:leftChars="0" w:firstLine="480" w:firstLineChars="200"/>
        <w:rPr>
          <w:b w:val="0"/>
          <w:color w:val="auto"/>
          <w:highlight w:val="none"/>
        </w:rPr>
      </w:pPr>
      <w:r>
        <w:rPr>
          <w:color w:val="auto"/>
          <w:highlight w:val="none"/>
        </w:rPr>
        <w:t>承诺书；</w:t>
      </w:r>
    </w:p>
    <w:p w14:paraId="503FA36B">
      <w:pPr>
        <w:pStyle w:val="5"/>
        <w:keepNext w:val="0"/>
        <w:keepLines w:val="0"/>
        <w:pageBreakBefore w:val="0"/>
        <w:numPr>
          <w:ilvl w:val="0"/>
          <w:numId w:val="7"/>
        </w:numPr>
        <w:kinsoku/>
        <w:wordWrap/>
        <w:overflowPunct/>
        <w:topLinePunct w:val="0"/>
        <w:autoSpaceDE/>
        <w:autoSpaceDN/>
        <w:bidi w:val="0"/>
        <w:adjustRightInd/>
        <w:snapToGrid/>
        <w:spacing w:line="360" w:lineRule="auto"/>
        <w:ind w:left="0" w:leftChars="0" w:firstLine="480" w:firstLineChars="200"/>
        <w:rPr>
          <w:b w:val="0"/>
          <w:color w:val="auto"/>
          <w:highlight w:val="none"/>
        </w:rPr>
      </w:pPr>
      <w:r>
        <w:rPr>
          <w:rFonts w:hint="eastAsia"/>
          <w:color w:val="auto"/>
          <w:highlight w:val="none"/>
          <w:lang w:val="en-US" w:eastAsia="zh-CN"/>
        </w:rPr>
        <w:t>项目</w:t>
      </w:r>
      <w:r>
        <w:rPr>
          <w:color w:val="auto"/>
          <w:highlight w:val="none"/>
        </w:rPr>
        <w:t>人员配置</w:t>
      </w:r>
      <w:r>
        <w:rPr>
          <w:rFonts w:hint="eastAsia"/>
          <w:color w:val="auto"/>
          <w:highlight w:val="none"/>
          <w:lang w:val="en-US" w:eastAsia="zh-CN"/>
        </w:rPr>
        <w:t>表</w:t>
      </w:r>
      <w:r>
        <w:rPr>
          <w:rFonts w:hint="eastAsia"/>
          <w:color w:val="auto"/>
          <w:highlight w:val="none"/>
          <w:lang w:eastAsia="zh-CN"/>
        </w:rPr>
        <w:t>（</w:t>
      </w:r>
      <w:r>
        <w:rPr>
          <w:rFonts w:hint="eastAsia"/>
          <w:color w:val="auto"/>
          <w:highlight w:val="none"/>
          <w:lang w:val="en-US" w:eastAsia="zh-CN"/>
        </w:rPr>
        <w:t>附建筑二级建造师或施工员与安全员证书及各人员与投标单位签订的劳动合同</w:t>
      </w:r>
      <w:r>
        <w:rPr>
          <w:rFonts w:hint="eastAsia"/>
          <w:color w:val="auto"/>
          <w:highlight w:val="none"/>
          <w:lang w:eastAsia="zh-CN"/>
        </w:rPr>
        <w:t>）。</w:t>
      </w:r>
    </w:p>
    <w:p w14:paraId="499751CE">
      <w:pPr>
        <w:pStyle w:val="5"/>
        <w:keepNext w:val="0"/>
        <w:keepLines w:val="0"/>
        <w:pageBreakBefore w:val="0"/>
        <w:kinsoku/>
        <w:wordWrap/>
        <w:overflowPunct/>
        <w:topLinePunct w:val="0"/>
        <w:autoSpaceDE/>
        <w:autoSpaceDN/>
        <w:bidi w:val="0"/>
        <w:adjustRightInd/>
        <w:snapToGrid/>
        <w:spacing w:line="360" w:lineRule="auto"/>
        <w:ind w:firstLine="482" w:firstLineChars="200"/>
        <w:rPr>
          <w:b/>
          <w:color w:val="auto"/>
          <w:highlight w:val="none"/>
        </w:rPr>
      </w:pPr>
      <w:r>
        <w:rPr>
          <w:b/>
          <w:color w:val="auto"/>
          <w:highlight w:val="none"/>
        </w:rPr>
        <w:t>各报名单位严格按上述要求制作标书，若投标人未按招标文件的要求提供资料，或未对招标文件做出实质性响应，将导致投标文件被视为无效。</w:t>
      </w:r>
    </w:p>
    <w:p w14:paraId="2F2F2255">
      <w:pPr>
        <w:pStyle w:val="3"/>
        <w:keepNext w:val="0"/>
        <w:keepLines w:val="0"/>
        <w:pageBreakBefore w:val="0"/>
        <w:widowControl/>
        <w:numPr>
          <w:ilvl w:val="0"/>
          <w:numId w:val="1"/>
        </w:numPr>
        <w:kinsoku/>
        <w:wordWrap/>
        <w:overflowPunct/>
        <w:topLinePunct w:val="0"/>
        <w:autoSpaceDE/>
        <w:autoSpaceDN/>
        <w:bidi w:val="0"/>
        <w:adjustRightInd/>
        <w:snapToGrid/>
        <w:spacing w:line="360" w:lineRule="auto"/>
        <w:ind w:left="0" w:leftChars="0" w:firstLine="482" w:firstLineChars="200"/>
        <w:rPr>
          <w:b/>
          <w:color w:val="auto"/>
          <w:highlight w:val="none"/>
        </w:rPr>
      </w:pPr>
      <w:r>
        <w:rPr>
          <w:color w:val="auto"/>
          <w:highlight w:val="none"/>
        </w:rPr>
        <w:t>以下情形之一招标人直接取消中标单位中标资格</w:t>
      </w:r>
    </w:p>
    <w:p w14:paraId="5F2CEB75">
      <w:pPr>
        <w:pStyle w:val="5"/>
        <w:keepNext w:val="0"/>
        <w:keepLines w:val="0"/>
        <w:pageBreakBefore w:val="0"/>
        <w:widowControl/>
        <w:numPr>
          <w:ilvl w:val="0"/>
          <w:numId w:val="8"/>
        </w:numPr>
        <w:kinsoku/>
        <w:wordWrap/>
        <w:overflowPunct/>
        <w:topLinePunct w:val="0"/>
        <w:autoSpaceDE/>
        <w:autoSpaceDN/>
        <w:bidi w:val="0"/>
        <w:adjustRightInd/>
        <w:snapToGrid/>
        <w:spacing w:line="360" w:lineRule="auto"/>
        <w:ind w:left="0" w:leftChars="0" w:firstLine="480" w:firstLineChars="200"/>
        <w:rPr>
          <w:b w:val="0"/>
          <w:color w:val="auto"/>
          <w:highlight w:val="none"/>
        </w:rPr>
      </w:pPr>
      <w:r>
        <w:rPr>
          <w:color w:val="auto"/>
          <w:highlight w:val="none"/>
        </w:rPr>
        <w:t>中标人在中标通知书发出30日内，中标人无正当理由不与招标人订立合同；</w:t>
      </w:r>
    </w:p>
    <w:p w14:paraId="7FA99DC6">
      <w:pPr>
        <w:pStyle w:val="5"/>
        <w:keepNext w:val="0"/>
        <w:keepLines w:val="0"/>
        <w:pageBreakBefore w:val="0"/>
        <w:widowControl/>
        <w:numPr>
          <w:ilvl w:val="0"/>
          <w:numId w:val="8"/>
        </w:numPr>
        <w:kinsoku/>
        <w:wordWrap/>
        <w:overflowPunct/>
        <w:topLinePunct w:val="0"/>
        <w:autoSpaceDE/>
        <w:autoSpaceDN/>
        <w:bidi w:val="0"/>
        <w:adjustRightInd/>
        <w:snapToGrid/>
        <w:spacing w:line="360" w:lineRule="auto"/>
        <w:ind w:left="0" w:leftChars="0" w:firstLine="480" w:firstLineChars="200"/>
        <w:rPr>
          <w:b w:val="0"/>
          <w:color w:val="auto"/>
          <w:highlight w:val="none"/>
        </w:rPr>
      </w:pPr>
      <w:r>
        <w:rPr>
          <w:color w:val="auto"/>
          <w:highlight w:val="none"/>
        </w:rPr>
        <w:t>中标人在签订合同时向招标人提出附加条件；</w:t>
      </w:r>
    </w:p>
    <w:p w14:paraId="7FAC2003">
      <w:pPr>
        <w:pStyle w:val="5"/>
        <w:keepNext w:val="0"/>
        <w:keepLines w:val="0"/>
        <w:pageBreakBefore w:val="0"/>
        <w:widowControl/>
        <w:numPr>
          <w:ilvl w:val="0"/>
          <w:numId w:val="8"/>
        </w:numPr>
        <w:kinsoku/>
        <w:wordWrap/>
        <w:overflowPunct/>
        <w:topLinePunct w:val="0"/>
        <w:autoSpaceDE/>
        <w:autoSpaceDN/>
        <w:bidi w:val="0"/>
        <w:adjustRightInd/>
        <w:snapToGrid/>
        <w:spacing w:line="360" w:lineRule="auto"/>
        <w:ind w:left="0" w:leftChars="0" w:firstLine="480" w:firstLineChars="200"/>
        <w:rPr>
          <w:b w:val="0"/>
          <w:color w:val="auto"/>
          <w:highlight w:val="none"/>
        </w:rPr>
      </w:pPr>
      <w:r>
        <w:rPr>
          <w:color w:val="auto"/>
          <w:highlight w:val="none"/>
        </w:rPr>
        <w:t>经核查，存在弄虚作假、借资质、挂靠、围标、串标等违法违规行为的；</w:t>
      </w:r>
    </w:p>
    <w:p w14:paraId="2D939AF6">
      <w:pPr>
        <w:pStyle w:val="5"/>
        <w:keepNext w:val="0"/>
        <w:keepLines w:val="0"/>
        <w:pageBreakBefore w:val="0"/>
        <w:widowControl/>
        <w:numPr>
          <w:ilvl w:val="0"/>
          <w:numId w:val="8"/>
        </w:numPr>
        <w:kinsoku/>
        <w:wordWrap/>
        <w:overflowPunct/>
        <w:topLinePunct w:val="0"/>
        <w:autoSpaceDE/>
        <w:autoSpaceDN/>
        <w:bidi w:val="0"/>
        <w:adjustRightInd/>
        <w:snapToGrid/>
        <w:spacing w:line="360" w:lineRule="auto"/>
        <w:ind w:left="0" w:leftChars="0" w:firstLine="480" w:firstLineChars="200"/>
        <w:rPr>
          <w:b w:val="0"/>
          <w:color w:val="auto"/>
          <w:highlight w:val="none"/>
        </w:rPr>
      </w:pPr>
      <w:r>
        <w:rPr>
          <w:color w:val="auto"/>
          <w:highlight w:val="none"/>
        </w:rPr>
        <w:t>投标人进行虚假、恶意投诉，阻碍招投标活动的正常进行的；</w:t>
      </w:r>
    </w:p>
    <w:p w14:paraId="1FB2F31E">
      <w:pPr>
        <w:pStyle w:val="5"/>
        <w:keepNext w:val="0"/>
        <w:keepLines w:val="0"/>
        <w:pageBreakBefore w:val="0"/>
        <w:widowControl/>
        <w:numPr>
          <w:ilvl w:val="0"/>
          <w:numId w:val="8"/>
        </w:numPr>
        <w:kinsoku/>
        <w:wordWrap/>
        <w:overflowPunct/>
        <w:topLinePunct w:val="0"/>
        <w:autoSpaceDE/>
        <w:autoSpaceDN/>
        <w:bidi w:val="0"/>
        <w:adjustRightInd/>
        <w:snapToGrid/>
        <w:spacing w:line="360" w:lineRule="auto"/>
        <w:ind w:left="0" w:leftChars="0" w:firstLine="480" w:firstLineChars="200"/>
        <w:rPr>
          <w:color w:val="auto"/>
          <w:highlight w:val="none"/>
          <w:u w:val="none"/>
        </w:rPr>
      </w:pPr>
      <w:r>
        <w:rPr>
          <w:color w:val="auto"/>
          <w:highlight w:val="none"/>
        </w:rPr>
        <w:t>法律法规规定的其他情形。</w:t>
      </w:r>
    </w:p>
    <w:p w14:paraId="3A940C08">
      <w:pPr>
        <w:pStyle w:val="5"/>
        <w:keepNext w:val="0"/>
        <w:keepLines w:val="0"/>
        <w:pageBreakBefore w:val="0"/>
        <w:widowControl w:val="0"/>
        <w:kinsoku/>
        <w:wordWrap/>
        <w:overflowPunct/>
        <w:topLinePunct w:val="0"/>
        <w:autoSpaceDE/>
        <w:autoSpaceDN/>
        <w:bidi w:val="0"/>
        <w:adjustRightInd/>
        <w:snapToGrid/>
        <w:spacing w:line="360" w:lineRule="auto"/>
        <w:ind w:left="1140" w:leftChars="200" w:hanging="720" w:hangingChars="300"/>
        <w:textAlignment w:val="auto"/>
        <w:rPr>
          <w:rFonts w:hint="eastAsia"/>
          <w:color w:val="auto"/>
          <w:highlight w:val="none"/>
          <w:u w:val="none"/>
          <w:lang w:val="en-US" w:eastAsia="zh-CN"/>
        </w:rPr>
      </w:pPr>
      <w:r>
        <w:rPr>
          <w:color w:val="auto"/>
          <w:highlight w:val="none"/>
          <w:u w:val="none"/>
        </w:rPr>
        <w:t>附件：</w:t>
      </w:r>
    </w:p>
    <w:p w14:paraId="7F2AB5FF">
      <w:pPr>
        <w:pStyle w:val="5"/>
        <w:keepNext w:val="0"/>
        <w:keepLines w:val="0"/>
        <w:pageBreakBefore w:val="0"/>
        <w:widowControl w:val="0"/>
        <w:numPr>
          <w:ilvl w:val="0"/>
          <w:numId w:val="9"/>
        </w:numPr>
        <w:kinsoku/>
        <w:wordWrap/>
        <w:overflowPunct/>
        <w:topLinePunct w:val="0"/>
        <w:autoSpaceDE/>
        <w:autoSpaceDN/>
        <w:bidi w:val="0"/>
        <w:adjustRightInd/>
        <w:snapToGrid/>
        <w:spacing w:line="360" w:lineRule="auto"/>
        <w:ind w:left="425" w:leftChars="0" w:hanging="425" w:firstLineChars="0"/>
        <w:textAlignment w:val="auto"/>
        <w:rPr>
          <w:color w:val="auto"/>
          <w:highlight w:val="none"/>
          <w:u w:val="none"/>
        </w:rPr>
      </w:pPr>
      <w:r>
        <w:rPr>
          <w:color w:val="auto"/>
          <w:highlight w:val="none"/>
          <w:u w:val="none"/>
        </w:rPr>
        <w:t>承诺书</w:t>
      </w:r>
    </w:p>
    <w:p w14:paraId="5FA8E918">
      <w:pPr>
        <w:pStyle w:val="5"/>
        <w:keepNext w:val="0"/>
        <w:keepLines w:val="0"/>
        <w:pageBreakBefore w:val="0"/>
        <w:widowControl w:val="0"/>
        <w:numPr>
          <w:ilvl w:val="0"/>
          <w:numId w:val="9"/>
        </w:numPr>
        <w:kinsoku/>
        <w:wordWrap/>
        <w:overflowPunct/>
        <w:topLinePunct w:val="0"/>
        <w:autoSpaceDE/>
        <w:autoSpaceDN/>
        <w:bidi w:val="0"/>
        <w:adjustRightInd/>
        <w:snapToGrid/>
        <w:spacing w:line="360" w:lineRule="auto"/>
        <w:ind w:left="425" w:leftChars="0" w:hanging="425" w:firstLineChars="0"/>
        <w:textAlignment w:val="auto"/>
        <w:rPr>
          <w:color w:val="auto"/>
          <w:highlight w:val="none"/>
          <w:u w:val="none"/>
        </w:rPr>
      </w:pPr>
      <w:r>
        <w:rPr>
          <w:rFonts w:hint="eastAsia"/>
          <w:color w:val="auto"/>
          <w:highlight w:val="none"/>
          <w:u w:val="none"/>
          <w:lang w:val="en-US" w:eastAsia="zh-CN"/>
        </w:rPr>
        <w:t>项目</w:t>
      </w:r>
      <w:r>
        <w:rPr>
          <w:rFonts w:hint="eastAsia"/>
          <w:color w:val="auto"/>
          <w:highlight w:val="none"/>
          <w:u w:val="none"/>
        </w:rPr>
        <w:t>人员岗位</w:t>
      </w:r>
      <w:r>
        <w:rPr>
          <w:rFonts w:hint="eastAsia"/>
          <w:color w:val="auto"/>
          <w:highlight w:val="none"/>
          <w:u w:val="none"/>
          <w:lang w:val="en-US" w:eastAsia="zh-CN"/>
        </w:rPr>
        <w:t>配置</w:t>
      </w:r>
      <w:r>
        <w:rPr>
          <w:rFonts w:hint="eastAsia"/>
          <w:color w:val="auto"/>
          <w:highlight w:val="none"/>
          <w:u w:val="none"/>
        </w:rPr>
        <w:t>一览表</w:t>
      </w:r>
    </w:p>
    <w:p w14:paraId="5B9E721D">
      <w:pPr>
        <w:pStyle w:val="5"/>
        <w:keepNext w:val="0"/>
        <w:keepLines w:val="0"/>
        <w:pageBreakBefore w:val="0"/>
        <w:widowControl w:val="0"/>
        <w:numPr>
          <w:ilvl w:val="0"/>
          <w:numId w:val="9"/>
        </w:numPr>
        <w:kinsoku/>
        <w:wordWrap/>
        <w:overflowPunct/>
        <w:topLinePunct w:val="0"/>
        <w:autoSpaceDE/>
        <w:autoSpaceDN/>
        <w:bidi w:val="0"/>
        <w:adjustRightInd/>
        <w:snapToGrid/>
        <w:spacing w:line="360" w:lineRule="auto"/>
        <w:ind w:left="425" w:leftChars="0" w:hanging="425" w:firstLineChars="0"/>
        <w:textAlignment w:val="auto"/>
        <w:rPr>
          <w:color w:val="auto"/>
          <w:highlight w:val="none"/>
          <w:u w:val="none"/>
        </w:rPr>
      </w:pPr>
      <w:r>
        <w:rPr>
          <w:rFonts w:hint="eastAsia"/>
          <w:color w:val="auto"/>
          <w:highlight w:val="none"/>
          <w:u w:val="none"/>
          <w:lang w:val="en-US" w:eastAsia="zh-CN"/>
        </w:rPr>
        <w:t>综合评分表</w:t>
      </w:r>
    </w:p>
    <w:p w14:paraId="100F031E">
      <w:pPr>
        <w:pStyle w:val="5"/>
        <w:keepNext w:val="0"/>
        <w:keepLines w:val="0"/>
        <w:pageBreakBefore w:val="0"/>
        <w:widowControl w:val="0"/>
        <w:numPr>
          <w:ilvl w:val="0"/>
          <w:numId w:val="9"/>
        </w:numPr>
        <w:kinsoku/>
        <w:wordWrap/>
        <w:overflowPunct/>
        <w:topLinePunct w:val="0"/>
        <w:autoSpaceDE/>
        <w:autoSpaceDN/>
        <w:bidi w:val="0"/>
        <w:adjustRightInd/>
        <w:snapToGrid/>
        <w:spacing w:line="360" w:lineRule="auto"/>
        <w:ind w:left="425" w:leftChars="0" w:hanging="425" w:firstLineChars="0"/>
        <w:textAlignment w:val="auto"/>
        <w:rPr>
          <w:color w:val="auto"/>
          <w:highlight w:val="none"/>
          <w:u w:val="none"/>
        </w:rPr>
      </w:pPr>
      <w:r>
        <w:rPr>
          <w:color w:val="auto"/>
          <w:highlight w:val="none"/>
          <w:u w:val="none"/>
        </w:rPr>
        <w:t>项目报价表</w:t>
      </w:r>
    </w:p>
    <w:p w14:paraId="555A649C">
      <w:pPr>
        <w:pStyle w:val="5"/>
        <w:keepNext w:val="0"/>
        <w:keepLines w:val="0"/>
        <w:pageBreakBefore w:val="0"/>
        <w:widowControl w:val="0"/>
        <w:numPr>
          <w:ilvl w:val="0"/>
          <w:numId w:val="9"/>
        </w:numPr>
        <w:kinsoku/>
        <w:wordWrap/>
        <w:overflowPunct/>
        <w:topLinePunct w:val="0"/>
        <w:autoSpaceDE/>
        <w:autoSpaceDN/>
        <w:bidi w:val="0"/>
        <w:adjustRightInd/>
        <w:snapToGrid/>
        <w:spacing w:line="360" w:lineRule="auto"/>
        <w:ind w:left="425" w:leftChars="0" w:hanging="425" w:firstLineChars="0"/>
        <w:textAlignment w:val="auto"/>
        <w:rPr>
          <w:rFonts w:hint="eastAsia" w:ascii="仿宋_GB2312" w:hAnsi="仿宋_GB2312" w:eastAsia="仿宋_GB2312" w:cs="仿宋_GB2312"/>
          <w:color w:val="auto"/>
          <w:sz w:val="30"/>
          <w:szCs w:val="30"/>
          <w:highlight w:val="none"/>
          <w:u w:val="none"/>
          <w:lang w:val="en-US" w:eastAsia="zh-CN"/>
        </w:rPr>
      </w:pPr>
      <w:r>
        <w:rPr>
          <w:color w:val="auto"/>
          <w:highlight w:val="none"/>
          <w:u w:val="none"/>
        </w:rPr>
        <w:t>项目清单</w:t>
      </w:r>
    </w:p>
    <w:p w14:paraId="043E876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Times New Roman" w:hAnsi="Times New Roman" w:eastAsia="宋体" w:cs="Times New Roman"/>
          <w:color w:val="auto"/>
          <w:sz w:val="24"/>
          <w:szCs w:val="30"/>
          <w:highlight w:val="none"/>
          <w:lang w:val="en-US" w:eastAsia="zh-CN"/>
        </w:rPr>
      </w:pPr>
      <w:r>
        <w:rPr>
          <w:rFonts w:hint="eastAsia" w:ascii="Times New Roman" w:hAnsi="Times New Roman" w:eastAsia="宋体" w:cs="Times New Roman"/>
          <w:b w:val="0"/>
          <w:color w:val="auto"/>
          <w:kern w:val="2"/>
          <w:sz w:val="24"/>
          <w:szCs w:val="30"/>
          <w:highlight w:val="none"/>
          <w:lang w:val="en-US" w:eastAsia="zh-CN" w:bidi="ar-SA"/>
        </w:rPr>
        <w:t xml:space="preserve">                 </w:t>
      </w:r>
      <w:r>
        <w:rPr>
          <w:rFonts w:hint="eastAsia" w:ascii="Times New Roman" w:hAnsi="Times New Roman" w:eastAsia="宋体" w:cs="Times New Roman"/>
          <w:color w:val="auto"/>
          <w:sz w:val="24"/>
          <w:szCs w:val="30"/>
          <w:highlight w:val="none"/>
          <w:lang w:val="en-US" w:eastAsia="zh-CN"/>
        </w:rPr>
        <w:t xml:space="preserve">   </w:t>
      </w:r>
      <w:r>
        <w:rPr>
          <w:rFonts w:hint="eastAsia" w:ascii="Times New Roman" w:hAnsi="Times New Roman" w:eastAsia="宋体" w:cs="Times New Roman"/>
          <w:b w:val="0"/>
          <w:bCs w:val="0"/>
          <w:color w:val="auto"/>
          <w:sz w:val="24"/>
          <w:szCs w:val="30"/>
          <w:highlight w:val="none"/>
          <w:lang w:val="en-US" w:eastAsia="zh-CN"/>
        </w:rPr>
        <w:t>遂宁市鹏安投资有限公司</w:t>
      </w:r>
      <w:r>
        <w:rPr>
          <w:rFonts w:hint="eastAsia" w:ascii="Times New Roman" w:hAnsi="Times New Roman" w:eastAsia="宋体" w:cs="Times New Roman"/>
          <w:color w:val="auto"/>
          <w:sz w:val="24"/>
          <w:szCs w:val="30"/>
          <w:highlight w:val="none"/>
          <w:lang w:val="en-US" w:eastAsia="zh-CN"/>
        </w:rPr>
        <w:t xml:space="preserve">    </w:t>
      </w:r>
    </w:p>
    <w:p w14:paraId="25F948D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Times New Roman" w:hAnsi="Times New Roman" w:eastAsia="宋体" w:cs="Times New Roman"/>
          <w:color w:val="auto"/>
          <w:sz w:val="24"/>
          <w:szCs w:val="30"/>
          <w:highlight w:val="none"/>
          <w:lang w:val="en-US" w:eastAsia="zh-CN"/>
        </w:rPr>
        <w:sectPr>
          <w:pgSz w:w="11906" w:h="16838"/>
          <w:pgMar w:top="1440" w:right="1417" w:bottom="1440" w:left="1417" w:header="851" w:footer="992" w:gutter="0"/>
          <w:cols w:space="720" w:num="1"/>
          <w:docGrid w:type="lines" w:linePitch="312" w:charSpace="0"/>
        </w:sectPr>
      </w:pPr>
      <w:r>
        <w:rPr>
          <w:rFonts w:hint="eastAsia" w:ascii="Times New Roman" w:hAnsi="Times New Roman" w:eastAsia="宋体" w:cs="Times New Roman"/>
          <w:color w:val="auto"/>
          <w:sz w:val="24"/>
          <w:szCs w:val="30"/>
          <w:highlight w:val="none"/>
          <w:lang w:val="en-US" w:eastAsia="zh-CN"/>
        </w:rPr>
        <w:t xml:space="preserve">                                    </w:t>
      </w:r>
      <w:r>
        <w:rPr>
          <w:rFonts w:hint="eastAsia" w:cs="Times New Roman"/>
          <w:color w:val="auto"/>
          <w:sz w:val="24"/>
          <w:szCs w:val="30"/>
          <w:highlight w:val="none"/>
          <w:lang w:val="en-US" w:eastAsia="zh-CN"/>
        </w:rPr>
        <w:t xml:space="preserve">       </w:t>
      </w:r>
      <w:r>
        <w:rPr>
          <w:rFonts w:hint="eastAsia" w:ascii="Times New Roman" w:hAnsi="Times New Roman" w:eastAsia="宋体" w:cs="Times New Roman"/>
          <w:color w:val="auto"/>
          <w:sz w:val="24"/>
          <w:szCs w:val="30"/>
          <w:highlight w:val="none"/>
          <w:lang w:val="en-US" w:eastAsia="zh-CN"/>
        </w:rPr>
        <w:t xml:space="preserve">   </w:t>
      </w:r>
      <w:r>
        <w:rPr>
          <w:rFonts w:hint="eastAsia" w:cs="Times New Roman"/>
          <w:color w:val="auto"/>
          <w:sz w:val="24"/>
          <w:szCs w:val="30"/>
          <w:highlight w:val="none"/>
          <w:lang w:val="en-US" w:eastAsia="zh-CN"/>
        </w:rPr>
        <w:t>2025</w:t>
      </w:r>
      <w:r>
        <w:rPr>
          <w:rFonts w:hint="eastAsia" w:ascii="Times New Roman" w:hAnsi="Times New Roman" w:eastAsia="宋体" w:cs="Times New Roman"/>
          <w:b w:val="0"/>
          <w:bCs w:val="0"/>
          <w:color w:val="auto"/>
          <w:sz w:val="24"/>
          <w:szCs w:val="30"/>
          <w:highlight w:val="none"/>
          <w:lang w:val="en-US" w:eastAsia="zh-CN"/>
        </w:rPr>
        <w:t>年</w:t>
      </w:r>
      <w:r>
        <w:rPr>
          <w:rFonts w:hint="eastAsia" w:cs="Times New Roman"/>
          <w:b w:val="0"/>
          <w:bCs w:val="0"/>
          <w:color w:val="auto"/>
          <w:sz w:val="24"/>
          <w:szCs w:val="30"/>
          <w:highlight w:val="none"/>
          <w:lang w:val="en-US" w:eastAsia="zh-CN"/>
        </w:rPr>
        <w:t>6</w:t>
      </w:r>
      <w:r>
        <w:rPr>
          <w:rFonts w:hint="eastAsia" w:ascii="Times New Roman" w:hAnsi="Times New Roman" w:eastAsia="宋体" w:cs="Times New Roman"/>
          <w:b w:val="0"/>
          <w:bCs w:val="0"/>
          <w:color w:val="auto"/>
          <w:sz w:val="24"/>
          <w:szCs w:val="30"/>
          <w:highlight w:val="none"/>
          <w:lang w:val="en-US" w:eastAsia="zh-CN"/>
        </w:rPr>
        <w:t>月</w:t>
      </w:r>
      <w:r>
        <w:rPr>
          <w:rFonts w:hint="eastAsia" w:cs="Times New Roman"/>
          <w:b w:val="0"/>
          <w:bCs w:val="0"/>
          <w:color w:val="auto"/>
          <w:sz w:val="24"/>
          <w:szCs w:val="30"/>
          <w:highlight w:val="none"/>
          <w:lang w:val="en-US" w:eastAsia="zh-CN"/>
        </w:rPr>
        <w:t>5</w:t>
      </w:r>
      <w:r>
        <w:rPr>
          <w:rFonts w:hint="eastAsia" w:ascii="Times New Roman" w:hAnsi="Times New Roman" w:eastAsia="宋体" w:cs="Times New Roman"/>
          <w:b w:val="0"/>
          <w:bCs w:val="0"/>
          <w:color w:val="auto"/>
          <w:sz w:val="24"/>
          <w:szCs w:val="30"/>
          <w:highlight w:val="none"/>
          <w:lang w:val="en-US" w:eastAsia="zh-CN"/>
        </w:rPr>
        <w:t>日</w:t>
      </w:r>
      <w:r>
        <w:rPr>
          <w:rFonts w:hint="eastAsia" w:ascii="Times New Roman" w:hAnsi="Times New Roman" w:eastAsia="宋体" w:cs="Times New Roman"/>
          <w:color w:val="auto"/>
          <w:sz w:val="24"/>
          <w:szCs w:val="30"/>
          <w:highlight w:val="none"/>
          <w:lang w:val="en-US" w:eastAsia="zh-CN"/>
        </w:rPr>
        <w:t xml:space="preserve">                   </w:t>
      </w:r>
    </w:p>
    <w:p w14:paraId="7D831D46">
      <w:pPr>
        <w:pStyle w:val="12"/>
        <w:outlineLvl w:val="0"/>
        <w:rPr>
          <w:rFonts w:hint="eastAsia" w:ascii="仿宋_GB2312" w:hAnsi="仿宋_GB2312" w:eastAsia="仿宋_GB2312" w:cs="仿宋_GB2312"/>
          <w:b/>
          <w:bCs/>
          <w:color w:val="auto"/>
          <w:sz w:val="30"/>
          <w:szCs w:val="30"/>
          <w:highlight w:val="none"/>
          <w:lang w:eastAsia="zh-CN"/>
        </w:rPr>
      </w:pPr>
      <w:r>
        <w:rPr>
          <w:color w:val="auto"/>
          <w:highlight w:val="none"/>
        </w:rPr>
        <w:t>附件一</w:t>
      </w:r>
      <w:r>
        <w:rPr>
          <w:color w:val="auto"/>
          <w:highlight w:val="none"/>
        </w:rPr>
        <w:tab/>
      </w:r>
    </w:p>
    <w:p w14:paraId="1F111ED1">
      <w:pPr>
        <w:pStyle w:val="13"/>
        <w:outlineLvl w:val="0"/>
        <w:rPr>
          <w:rFonts w:hint="eastAsia"/>
          <w:b/>
          <w:bCs/>
          <w:color w:val="auto"/>
          <w:sz w:val="44"/>
          <w:szCs w:val="44"/>
          <w:highlight w:val="none"/>
          <w:lang w:eastAsia="zh-CN"/>
        </w:rPr>
      </w:pPr>
      <w:r>
        <w:rPr>
          <w:color w:val="auto"/>
          <w:highlight w:val="none"/>
        </w:rPr>
        <w:t>承诺书</w:t>
      </w:r>
    </w:p>
    <w:p w14:paraId="50D8444C">
      <w:pPr>
        <w:keepNext w:val="0"/>
        <w:keepLines w:val="0"/>
        <w:widowControl w:val="0"/>
        <w:numPr>
          <w:ilvl w:val="0"/>
          <w:numId w:val="10"/>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施工方案承诺</w:t>
      </w:r>
    </w:p>
    <w:p w14:paraId="4A0C00DA">
      <w:pPr>
        <w:pStyle w:val="5"/>
        <w:numPr>
          <w:ilvl w:val="0"/>
          <w:numId w:val="11"/>
        </w:numPr>
        <w:ind w:left="0" w:leftChars="0" w:firstLine="480" w:firstLineChars="0"/>
        <w:rPr>
          <w:b w:val="0"/>
          <w:color w:val="auto"/>
          <w:highlight w:val="none"/>
        </w:rPr>
      </w:pPr>
      <w:r>
        <w:rPr>
          <w:color w:val="auto"/>
          <w:highlight w:val="none"/>
        </w:rPr>
        <w:t>规划：制定详细施工方案，确保按期完成。</w:t>
      </w:r>
    </w:p>
    <w:p w14:paraId="4CDB2DFB">
      <w:pPr>
        <w:pStyle w:val="5"/>
        <w:numPr>
          <w:ilvl w:val="0"/>
          <w:numId w:val="11"/>
        </w:numPr>
        <w:ind w:left="0" w:leftChars="0" w:firstLine="480" w:firstLineChars="0"/>
        <w:rPr>
          <w:b w:val="0"/>
          <w:color w:val="auto"/>
          <w:highlight w:val="none"/>
        </w:rPr>
      </w:pPr>
      <w:r>
        <w:rPr>
          <w:color w:val="auto"/>
          <w:highlight w:val="none"/>
        </w:rPr>
        <w:t>技术：采用先进技术，提高施工效率。</w:t>
      </w:r>
    </w:p>
    <w:p w14:paraId="7F480100">
      <w:pPr>
        <w:pStyle w:val="5"/>
        <w:numPr>
          <w:ilvl w:val="0"/>
          <w:numId w:val="11"/>
        </w:numPr>
        <w:ind w:left="0" w:leftChars="0" w:firstLine="480" w:firstLineChars="0"/>
        <w:rPr>
          <w:b w:val="0"/>
          <w:color w:val="auto"/>
          <w:highlight w:val="none"/>
        </w:rPr>
      </w:pPr>
      <w:r>
        <w:rPr>
          <w:color w:val="auto"/>
          <w:highlight w:val="none"/>
        </w:rPr>
        <w:t>安全：严格安全保障措施，确保人员和设备安全。</w:t>
      </w:r>
    </w:p>
    <w:p w14:paraId="6A525B7A">
      <w:pPr>
        <w:pStyle w:val="5"/>
        <w:numPr>
          <w:ilvl w:val="0"/>
          <w:numId w:val="11"/>
        </w:numPr>
        <w:ind w:left="0" w:leftChars="0" w:firstLine="480" w:firstLineChars="0"/>
        <w:rPr>
          <w:b w:val="0"/>
          <w:color w:val="auto"/>
          <w:highlight w:val="none"/>
        </w:rPr>
      </w:pPr>
      <w:r>
        <w:rPr>
          <w:color w:val="auto"/>
          <w:highlight w:val="none"/>
        </w:rPr>
        <w:t>环保：遵守环保法规，保护环境。</w:t>
      </w:r>
    </w:p>
    <w:p w14:paraId="3F598276">
      <w:pPr>
        <w:keepNext w:val="0"/>
        <w:keepLines w:val="0"/>
        <w:widowControl w:val="0"/>
        <w:numPr>
          <w:ilvl w:val="0"/>
          <w:numId w:val="10"/>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其他承诺</w:t>
      </w:r>
    </w:p>
    <w:p w14:paraId="7E94FECD">
      <w:pPr>
        <w:pStyle w:val="5"/>
        <w:numPr>
          <w:ilvl w:val="0"/>
          <w:numId w:val="12"/>
        </w:numPr>
        <w:ind w:left="0" w:leftChars="0" w:firstLine="480" w:firstLineChars="0"/>
        <w:rPr>
          <w:b w:val="0"/>
          <w:color w:val="auto"/>
          <w:highlight w:val="none"/>
        </w:rPr>
      </w:pPr>
      <w:r>
        <w:rPr>
          <w:color w:val="auto"/>
          <w:highlight w:val="none"/>
        </w:rPr>
        <w:t>资质：劳务分包资质。</w:t>
      </w:r>
    </w:p>
    <w:p w14:paraId="3FA0527E">
      <w:pPr>
        <w:pStyle w:val="5"/>
        <w:numPr>
          <w:ilvl w:val="0"/>
          <w:numId w:val="12"/>
        </w:numPr>
        <w:ind w:left="0" w:leftChars="0" w:firstLine="480" w:firstLineChars="0"/>
        <w:rPr>
          <w:b w:val="0"/>
          <w:color w:val="auto"/>
          <w:highlight w:val="none"/>
        </w:rPr>
      </w:pPr>
      <w:r>
        <w:rPr>
          <w:color w:val="auto"/>
          <w:highlight w:val="none"/>
        </w:rPr>
        <w:t>人员：配备足够数量、技能匹配的人员，</w:t>
      </w:r>
      <w:r>
        <w:rPr>
          <w:rFonts w:hint="eastAsia"/>
          <w:color w:val="auto"/>
          <w:highlight w:val="none"/>
          <w:lang w:val="en-US" w:eastAsia="zh-CN"/>
        </w:rPr>
        <w:t>若人员更换应，</w:t>
      </w:r>
      <w:r>
        <w:rPr>
          <w:color w:val="auto"/>
          <w:highlight w:val="none"/>
        </w:rPr>
        <w:t>不低于投标人员配置。</w:t>
      </w:r>
    </w:p>
    <w:p w14:paraId="3F29AA87">
      <w:pPr>
        <w:pStyle w:val="5"/>
        <w:numPr>
          <w:ilvl w:val="0"/>
          <w:numId w:val="12"/>
        </w:numPr>
        <w:ind w:left="0" w:leftChars="0" w:firstLine="480" w:firstLineChars="0"/>
        <w:rPr>
          <w:b w:val="0"/>
          <w:color w:val="auto"/>
          <w:highlight w:val="none"/>
        </w:rPr>
      </w:pPr>
      <w:r>
        <w:rPr>
          <w:color w:val="auto"/>
          <w:highlight w:val="none"/>
        </w:rPr>
        <w:t>材料：按合同要求采购材料，确保质量。</w:t>
      </w:r>
    </w:p>
    <w:p w14:paraId="4595829A">
      <w:pPr>
        <w:pStyle w:val="5"/>
        <w:numPr>
          <w:ilvl w:val="0"/>
          <w:numId w:val="12"/>
        </w:numPr>
        <w:ind w:left="0" w:leftChars="0" w:firstLine="480" w:firstLineChars="0"/>
        <w:rPr>
          <w:b w:val="0"/>
          <w:color w:val="auto"/>
          <w:highlight w:val="none"/>
        </w:rPr>
      </w:pPr>
      <w:r>
        <w:rPr>
          <w:color w:val="auto"/>
          <w:highlight w:val="none"/>
        </w:rPr>
        <w:t>质量：恪守设计方案和合同，保证工程质量。</w:t>
      </w:r>
    </w:p>
    <w:p w14:paraId="4C645DC4">
      <w:pPr>
        <w:pStyle w:val="5"/>
        <w:numPr>
          <w:ilvl w:val="0"/>
          <w:numId w:val="12"/>
        </w:numPr>
        <w:ind w:left="0" w:leftChars="0" w:firstLine="480" w:firstLineChars="0"/>
        <w:rPr>
          <w:b w:val="0"/>
          <w:color w:val="auto"/>
          <w:highlight w:val="none"/>
        </w:rPr>
      </w:pPr>
      <w:r>
        <w:rPr>
          <w:color w:val="auto"/>
          <w:highlight w:val="none"/>
        </w:rPr>
        <w:t>合作：善意合作，与各方建立友好关系。</w:t>
      </w:r>
    </w:p>
    <w:p w14:paraId="67D7989C">
      <w:pPr>
        <w:keepNext w:val="0"/>
        <w:keepLines w:val="0"/>
        <w:widowControl w:val="0"/>
        <w:numPr>
          <w:ilvl w:val="0"/>
          <w:numId w:val="10"/>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保证措施</w:t>
      </w:r>
    </w:p>
    <w:p w14:paraId="261F43AB">
      <w:pPr>
        <w:pStyle w:val="5"/>
        <w:rPr>
          <w:color w:val="auto"/>
          <w:highlight w:val="none"/>
        </w:rPr>
      </w:pPr>
      <w:r>
        <w:rPr>
          <w:color w:val="auto"/>
          <w:highlight w:val="none"/>
        </w:rPr>
        <w:t>违反承诺，承担一切责任和后果，支付</w:t>
      </w:r>
      <w:r>
        <w:rPr>
          <w:rFonts w:hint="eastAsia"/>
          <w:color w:val="auto"/>
          <w:highlight w:val="none"/>
          <w:lang w:val="en-US" w:eastAsia="zh-CN"/>
        </w:rPr>
        <w:t>合同金额的1%</w:t>
      </w:r>
      <w:r>
        <w:rPr>
          <w:color w:val="auto"/>
          <w:highlight w:val="none"/>
        </w:rPr>
        <w:t>违约金</w:t>
      </w:r>
      <w:r>
        <w:rPr>
          <w:rFonts w:hint="eastAsia"/>
          <w:color w:val="auto"/>
          <w:highlight w:val="none"/>
          <w:lang w:eastAsia="zh-CN"/>
        </w:rPr>
        <w:t>，</w:t>
      </w:r>
      <w:r>
        <w:rPr>
          <w:rFonts w:hint="eastAsia"/>
          <w:color w:val="auto"/>
          <w:highlight w:val="none"/>
          <w:lang w:val="en-US" w:eastAsia="zh-CN"/>
        </w:rPr>
        <w:t>情况严重的解除劳务合同</w:t>
      </w:r>
      <w:r>
        <w:rPr>
          <w:color w:val="auto"/>
          <w:highlight w:val="none"/>
        </w:rPr>
        <w:t>。</w:t>
      </w:r>
    </w:p>
    <w:p w14:paraId="03AAA5CC">
      <w:pPr>
        <w:keepNext w:val="0"/>
        <w:keepLines w:val="0"/>
        <w:widowControl w:val="0"/>
        <w:numPr>
          <w:ilvl w:val="0"/>
          <w:numId w:val="10"/>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承诺期限</w:t>
      </w:r>
    </w:p>
    <w:p w14:paraId="7E46C0C7">
      <w:pPr>
        <w:pStyle w:val="5"/>
        <w:rPr>
          <w:color w:val="auto"/>
          <w:highlight w:val="none"/>
        </w:rPr>
      </w:pPr>
      <w:r>
        <w:rPr>
          <w:color w:val="auto"/>
          <w:highlight w:val="none"/>
        </w:rPr>
        <w:t>本承诺书自签署之日起生效，有效期为</w:t>
      </w:r>
      <w:r>
        <w:rPr>
          <w:rFonts w:hint="eastAsia"/>
          <w:color w:val="auto"/>
          <w:highlight w:val="none"/>
          <w:lang w:val="en-US" w:eastAsia="zh-CN"/>
        </w:rPr>
        <w:t>项目竣工验收结束</w:t>
      </w:r>
      <w:r>
        <w:rPr>
          <w:color w:val="auto"/>
          <w:highlight w:val="none"/>
        </w:rPr>
        <w:t>。</w:t>
      </w:r>
    </w:p>
    <w:p w14:paraId="728A8296">
      <w:pPr>
        <w:ind w:firstLine="2880" w:firstLineChars="1200"/>
        <w:rPr>
          <w:rFonts w:hint="eastAsia" w:ascii="Times New Roman" w:hAnsi="Times New Roman" w:eastAsia="宋体" w:cs="Times New Roman"/>
          <w:color w:val="auto"/>
          <w:sz w:val="24"/>
          <w:szCs w:val="30"/>
          <w:highlight w:val="none"/>
          <w:lang w:eastAsia="zh-CN"/>
        </w:rPr>
      </w:pPr>
    </w:p>
    <w:p w14:paraId="16670576">
      <w:pPr>
        <w:rPr>
          <w:rFonts w:hint="eastAsia" w:ascii="Times New Roman" w:hAnsi="Times New Roman" w:eastAsia="宋体" w:cs="Times New Roman"/>
          <w:color w:val="auto"/>
          <w:sz w:val="24"/>
          <w:szCs w:val="30"/>
          <w:highlight w:val="none"/>
          <w:lang w:eastAsia="zh-CN"/>
        </w:rPr>
      </w:pPr>
    </w:p>
    <w:p w14:paraId="46038F91">
      <w:pPr>
        <w:ind w:firstLine="3600" w:firstLineChars="1500"/>
        <w:rPr>
          <w:rFonts w:hint="eastAsia" w:ascii="Times New Roman" w:hAnsi="Times New Roman" w:eastAsia="宋体" w:cs="Times New Roman"/>
          <w:color w:val="auto"/>
          <w:sz w:val="24"/>
          <w:szCs w:val="30"/>
          <w:highlight w:val="none"/>
          <w:lang w:eastAsia="zh-CN"/>
        </w:rPr>
      </w:pPr>
      <w:r>
        <w:rPr>
          <w:rFonts w:hint="eastAsia" w:ascii="Times New Roman" w:hAnsi="Times New Roman" w:eastAsia="宋体" w:cs="Times New Roman"/>
          <w:color w:val="auto"/>
          <w:sz w:val="24"/>
          <w:szCs w:val="30"/>
          <w:highlight w:val="none"/>
          <w:lang w:eastAsia="zh-CN"/>
        </w:rPr>
        <w:t>签</w:t>
      </w:r>
      <w:r>
        <w:rPr>
          <w:rFonts w:hint="eastAsia" w:ascii="Times New Roman" w:hAnsi="Times New Roman" w:eastAsia="宋体" w:cs="Times New Roman"/>
          <w:color w:val="auto"/>
          <w:sz w:val="24"/>
          <w:szCs w:val="30"/>
          <w:highlight w:val="none"/>
          <w:lang w:val="en-US" w:eastAsia="zh-CN"/>
        </w:rPr>
        <w:t xml:space="preserve"> </w:t>
      </w:r>
      <w:r>
        <w:rPr>
          <w:rFonts w:hint="eastAsia" w:ascii="Times New Roman" w:hAnsi="Times New Roman" w:eastAsia="宋体" w:cs="Times New Roman"/>
          <w:color w:val="auto"/>
          <w:sz w:val="24"/>
          <w:szCs w:val="30"/>
          <w:highlight w:val="none"/>
          <w:lang w:eastAsia="zh-CN"/>
        </w:rPr>
        <w:t>署</w:t>
      </w:r>
      <w:r>
        <w:rPr>
          <w:rFonts w:hint="eastAsia" w:ascii="Times New Roman" w:hAnsi="Times New Roman" w:eastAsia="宋体" w:cs="Times New Roman"/>
          <w:color w:val="auto"/>
          <w:sz w:val="24"/>
          <w:szCs w:val="30"/>
          <w:highlight w:val="none"/>
          <w:lang w:val="en-US" w:eastAsia="zh-CN"/>
        </w:rPr>
        <w:t xml:space="preserve"> </w:t>
      </w:r>
      <w:r>
        <w:rPr>
          <w:rFonts w:hint="eastAsia" w:ascii="Times New Roman" w:hAnsi="Times New Roman" w:eastAsia="宋体" w:cs="Times New Roman"/>
          <w:color w:val="auto"/>
          <w:sz w:val="24"/>
          <w:szCs w:val="30"/>
          <w:highlight w:val="none"/>
          <w:lang w:eastAsia="zh-CN"/>
        </w:rPr>
        <w:t>人：[公司法人或负责人签名]</w:t>
      </w:r>
    </w:p>
    <w:p w14:paraId="4AD8A0D7">
      <w:pPr>
        <w:ind w:firstLine="3600" w:firstLineChars="1500"/>
        <w:rPr>
          <w:rFonts w:hint="eastAsia" w:ascii="Times New Roman" w:hAnsi="Times New Roman" w:eastAsia="宋体" w:cs="Times New Roman"/>
          <w:color w:val="auto"/>
          <w:sz w:val="24"/>
          <w:szCs w:val="30"/>
          <w:highlight w:val="none"/>
          <w:lang w:eastAsia="zh-CN"/>
        </w:rPr>
      </w:pPr>
    </w:p>
    <w:p w14:paraId="596C8605">
      <w:pPr>
        <w:ind w:firstLine="3600" w:firstLineChars="1500"/>
        <w:rPr>
          <w:rFonts w:hint="eastAsia" w:ascii="Times New Roman" w:hAnsi="Times New Roman" w:eastAsia="宋体" w:cs="Times New Roman"/>
          <w:color w:val="auto"/>
          <w:sz w:val="24"/>
          <w:szCs w:val="30"/>
          <w:highlight w:val="none"/>
          <w:lang w:eastAsia="zh-CN"/>
        </w:rPr>
      </w:pPr>
      <w:r>
        <w:rPr>
          <w:rFonts w:hint="eastAsia" w:ascii="Times New Roman" w:hAnsi="Times New Roman" w:eastAsia="宋体" w:cs="Times New Roman"/>
          <w:color w:val="auto"/>
          <w:sz w:val="24"/>
          <w:szCs w:val="30"/>
          <w:highlight w:val="none"/>
          <w:lang w:eastAsia="zh-CN"/>
        </w:rPr>
        <w:t>签署日期：[具体日期]</w:t>
      </w:r>
    </w:p>
    <w:p w14:paraId="62E75B55">
      <w:pPr>
        <w:pStyle w:val="5"/>
        <w:rPr>
          <w:rFonts w:hint="eastAsia"/>
          <w:highlight w:val="none"/>
          <w:lang w:eastAsia="zh-CN"/>
        </w:rPr>
      </w:pPr>
    </w:p>
    <w:p w14:paraId="60311FEB">
      <w:pPr>
        <w:tabs>
          <w:tab w:val="left" w:pos="679"/>
        </w:tabs>
        <w:spacing w:line="480" w:lineRule="auto"/>
        <w:jc w:val="left"/>
        <w:rPr>
          <w:rFonts w:hint="eastAsia" w:ascii="宋体" w:hAnsi="宋体" w:eastAsia="宋体" w:cs="宋体"/>
          <w:b/>
          <w:bCs/>
          <w:color w:val="auto"/>
          <w:sz w:val="24"/>
          <w:szCs w:val="24"/>
          <w:highlight w:val="none"/>
          <w:lang w:val="en-US" w:eastAsia="zh-CN"/>
        </w:rPr>
      </w:pPr>
    </w:p>
    <w:p w14:paraId="3CDC59E5">
      <w:pPr>
        <w:pStyle w:val="9"/>
        <w:ind w:left="0" w:leftChars="0" w:firstLine="0" w:firstLineChars="0"/>
        <w:rPr>
          <w:rFonts w:hint="eastAsia" w:ascii="宋体" w:hAnsi="宋体" w:eastAsia="宋体" w:cs="宋体"/>
          <w:b/>
          <w:bCs/>
          <w:color w:val="auto"/>
          <w:sz w:val="24"/>
          <w:szCs w:val="24"/>
          <w:highlight w:val="none"/>
          <w:lang w:val="en-US" w:eastAsia="zh-CN"/>
        </w:rPr>
      </w:pPr>
    </w:p>
    <w:p w14:paraId="258307D6">
      <w:pPr>
        <w:pStyle w:val="9"/>
        <w:ind w:left="0" w:leftChars="0" w:firstLine="0" w:firstLineChars="0"/>
        <w:rPr>
          <w:rFonts w:hint="eastAsia" w:ascii="宋体" w:hAnsi="宋体" w:eastAsia="宋体" w:cs="宋体"/>
          <w:b/>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附件</w:t>
      </w:r>
      <w:r>
        <w:rPr>
          <w:rFonts w:hint="eastAsia" w:ascii="宋体" w:hAnsi="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lang w:val="en-US" w:eastAsia="zh-CN"/>
        </w:rPr>
        <w:t>：</w:t>
      </w:r>
    </w:p>
    <w:p w14:paraId="1082BDF4">
      <w:pPr>
        <w:spacing w:line="480" w:lineRule="auto"/>
        <w:ind w:left="0" w:leftChars="0"/>
        <w:jc w:val="center"/>
        <w:rPr>
          <w:rFonts w:hint="eastAsia" w:ascii="宋体" w:hAnsi="宋体" w:eastAsia="宋体" w:cs="宋体"/>
          <w:b/>
          <w:color w:val="auto"/>
          <w:sz w:val="24"/>
          <w:szCs w:val="24"/>
          <w:highlight w:val="none"/>
          <w:lang w:eastAsia="zh-CN"/>
        </w:rPr>
      </w:pPr>
      <w:r>
        <w:rPr>
          <w:rFonts w:hint="eastAsia" w:ascii="宋体" w:hAnsi="宋体" w:cs="宋体"/>
          <w:b/>
          <w:color w:val="auto"/>
          <w:sz w:val="24"/>
          <w:szCs w:val="24"/>
          <w:highlight w:val="none"/>
          <w:lang w:val="en-US" w:eastAsia="zh-CN"/>
        </w:rPr>
        <w:t>项目</w:t>
      </w:r>
      <w:r>
        <w:rPr>
          <w:rFonts w:hint="eastAsia" w:ascii="宋体" w:hAnsi="宋体" w:eastAsia="宋体" w:cs="宋体"/>
          <w:b/>
          <w:color w:val="auto"/>
          <w:sz w:val="24"/>
          <w:szCs w:val="24"/>
          <w:highlight w:val="none"/>
        </w:rPr>
        <w:t>人员岗位</w:t>
      </w:r>
      <w:r>
        <w:rPr>
          <w:rFonts w:hint="eastAsia" w:ascii="宋体" w:hAnsi="宋体" w:cs="宋体"/>
          <w:b/>
          <w:color w:val="auto"/>
          <w:sz w:val="24"/>
          <w:szCs w:val="24"/>
          <w:highlight w:val="none"/>
          <w:lang w:val="en-US" w:eastAsia="zh-CN"/>
        </w:rPr>
        <w:t>配置</w:t>
      </w:r>
      <w:r>
        <w:rPr>
          <w:rFonts w:hint="eastAsia" w:ascii="宋体" w:hAnsi="宋体" w:eastAsia="宋体" w:cs="宋体"/>
          <w:b/>
          <w:color w:val="auto"/>
          <w:sz w:val="24"/>
          <w:szCs w:val="24"/>
          <w:highlight w:val="none"/>
        </w:rPr>
        <w:t>一览表</w:t>
      </w: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lang w:val="en-US" w:eastAsia="zh-CN"/>
        </w:rPr>
        <w:t>附</w:t>
      </w:r>
      <w:r>
        <w:rPr>
          <w:rFonts w:hint="eastAsia" w:ascii="宋体" w:hAnsi="宋体" w:cs="宋体"/>
          <w:b/>
          <w:color w:val="auto"/>
          <w:sz w:val="24"/>
          <w:szCs w:val="24"/>
          <w:highlight w:val="yellow"/>
          <w:lang w:val="en-US" w:eastAsia="zh-CN"/>
        </w:rPr>
        <w:t>建筑二级建造师或施工员与安全员证书</w:t>
      </w:r>
      <w:r>
        <w:rPr>
          <w:rFonts w:hint="eastAsia" w:ascii="宋体" w:hAnsi="宋体" w:cs="宋体"/>
          <w:b/>
          <w:color w:val="auto"/>
          <w:sz w:val="24"/>
          <w:szCs w:val="24"/>
          <w:highlight w:val="none"/>
          <w:lang w:val="en-US" w:eastAsia="zh-CN"/>
        </w:rPr>
        <w:t>以及各人员劳动合同</w:t>
      </w:r>
      <w:r>
        <w:rPr>
          <w:rFonts w:hint="eastAsia" w:ascii="宋体" w:hAnsi="宋体" w:cs="宋体"/>
          <w:b/>
          <w:color w:val="auto"/>
          <w:sz w:val="24"/>
          <w:szCs w:val="24"/>
          <w:highlight w:val="none"/>
          <w:lang w:eastAsia="zh-CN"/>
        </w:rPr>
        <w:t>）</w:t>
      </w:r>
    </w:p>
    <w:tbl>
      <w:tblPr>
        <w:tblStyle w:val="10"/>
        <w:tblW w:w="9683" w:type="dxa"/>
        <w:tblInd w:w="-5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0"/>
        <w:gridCol w:w="1575"/>
        <w:gridCol w:w="1220"/>
        <w:gridCol w:w="1930"/>
        <w:gridCol w:w="3488"/>
      </w:tblGrid>
      <w:tr w14:paraId="607BA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Align w:val="center"/>
          </w:tcPr>
          <w:p w14:paraId="5781DB9A">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部门</w:t>
            </w:r>
          </w:p>
        </w:tc>
        <w:tc>
          <w:tcPr>
            <w:tcW w:w="1575" w:type="dxa"/>
            <w:vAlign w:val="center"/>
          </w:tcPr>
          <w:p w14:paraId="1068F09D">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岗位</w:t>
            </w:r>
          </w:p>
        </w:tc>
        <w:tc>
          <w:tcPr>
            <w:tcW w:w="1220" w:type="dxa"/>
            <w:vAlign w:val="center"/>
          </w:tcPr>
          <w:p w14:paraId="3A1F616A">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姓名</w:t>
            </w:r>
          </w:p>
        </w:tc>
        <w:tc>
          <w:tcPr>
            <w:tcW w:w="1930" w:type="dxa"/>
            <w:vAlign w:val="center"/>
          </w:tcPr>
          <w:p w14:paraId="01DFF1BB">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职业资格/职称</w:t>
            </w:r>
          </w:p>
        </w:tc>
        <w:tc>
          <w:tcPr>
            <w:tcW w:w="3488" w:type="dxa"/>
            <w:vAlign w:val="center"/>
          </w:tcPr>
          <w:p w14:paraId="4739F8C8">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职责与分工</w:t>
            </w:r>
          </w:p>
        </w:tc>
      </w:tr>
      <w:tr w14:paraId="3D9FA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Align w:val="center"/>
          </w:tcPr>
          <w:p w14:paraId="5DBCB559">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1279942B">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3917E61D">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4BB4954D">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0366ADD">
            <w:pPr>
              <w:spacing w:line="480" w:lineRule="auto"/>
              <w:ind w:left="0" w:leftChars="0"/>
              <w:jc w:val="center"/>
              <w:rPr>
                <w:rStyle w:val="14"/>
                <w:rFonts w:hint="eastAsia" w:ascii="宋体" w:hAnsi="宋体" w:eastAsia="宋体" w:cs="宋体"/>
                <w:color w:val="auto"/>
                <w:sz w:val="24"/>
                <w:szCs w:val="24"/>
                <w:highlight w:val="none"/>
              </w:rPr>
            </w:pPr>
          </w:p>
        </w:tc>
      </w:tr>
      <w:tr w14:paraId="00DFC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470" w:type="dxa"/>
            <w:vAlign w:val="center"/>
          </w:tcPr>
          <w:p w14:paraId="4D01802B">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79897F49">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08D812FD">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650F0B42">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08AAB641">
            <w:pPr>
              <w:spacing w:line="480" w:lineRule="auto"/>
              <w:ind w:left="0" w:leftChars="0"/>
              <w:jc w:val="center"/>
              <w:rPr>
                <w:rStyle w:val="14"/>
                <w:rFonts w:hint="eastAsia" w:ascii="宋体" w:hAnsi="宋体" w:eastAsia="宋体" w:cs="宋体"/>
                <w:color w:val="auto"/>
                <w:sz w:val="24"/>
                <w:szCs w:val="24"/>
                <w:highlight w:val="none"/>
              </w:rPr>
            </w:pPr>
          </w:p>
        </w:tc>
      </w:tr>
      <w:tr w14:paraId="217C4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Align w:val="center"/>
          </w:tcPr>
          <w:p w14:paraId="12EA4681">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55F7ACAA">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4246E933">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7B92666A">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4E129694">
            <w:pPr>
              <w:pStyle w:val="15"/>
              <w:spacing w:line="480" w:lineRule="auto"/>
              <w:jc w:val="center"/>
              <w:rPr>
                <w:rStyle w:val="14"/>
                <w:rFonts w:hint="eastAsia" w:ascii="宋体" w:hAnsi="宋体" w:eastAsia="宋体" w:cs="宋体"/>
                <w:color w:val="auto"/>
                <w:sz w:val="24"/>
                <w:szCs w:val="24"/>
                <w:highlight w:val="none"/>
              </w:rPr>
            </w:pPr>
          </w:p>
        </w:tc>
      </w:tr>
      <w:tr w14:paraId="31FA3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1470" w:type="dxa"/>
            <w:vAlign w:val="center"/>
          </w:tcPr>
          <w:p w14:paraId="348FE566">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1C966D05">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55C274D2">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4EA5769E">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6C4B124B">
            <w:pPr>
              <w:pStyle w:val="15"/>
              <w:spacing w:line="480" w:lineRule="auto"/>
              <w:jc w:val="center"/>
              <w:rPr>
                <w:rStyle w:val="14"/>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r w14:paraId="16B7A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29D2CA01">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300A95E8">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6926BD7E">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1CC22CE7">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0F8936A3">
            <w:pPr>
              <w:pStyle w:val="15"/>
              <w:spacing w:line="480" w:lineRule="auto"/>
              <w:jc w:val="center"/>
              <w:rPr>
                <w:rStyle w:val="14"/>
                <w:rFonts w:hint="eastAsia" w:ascii="宋体" w:hAnsi="宋体" w:eastAsia="宋体" w:cs="宋体"/>
                <w:color w:val="auto"/>
                <w:sz w:val="24"/>
                <w:szCs w:val="24"/>
                <w:highlight w:val="none"/>
              </w:rPr>
            </w:pPr>
          </w:p>
        </w:tc>
      </w:tr>
      <w:tr w14:paraId="496CC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76C38698">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1F8943CD">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490D175F">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6B2212D3">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6F2C9634">
            <w:pPr>
              <w:pStyle w:val="15"/>
              <w:spacing w:line="480" w:lineRule="auto"/>
              <w:jc w:val="center"/>
              <w:rPr>
                <w:rStyle w:val="14"/>
                <w:rFonts w:hint="eastAsia" w:ascii="宋体" w:hAnsi="宋体" w:eastAsia="宋体" w:cs="宋体"/>
                <w:color w:val="auto"/>
                <w:sz w:val="24"/>
                <w:szCs w:val="24"/>
                <w:highlight w:val="none"/>
              </w:rPr>
            </w:pPr>
          </w:p>
        </w:tc>
      </w:tr>
      <w:tr w14:paraId="066A2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23A7244C">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68DF8C3F">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25FBCF3F">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4B5154F2">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7CCE05DE">
            <w:pPr>
              <w:pStyle w:val="15"/>
              <w:spacing w:line="480" w:lineRule="auto"/>
              <w:jc w:val="center"/>
              <w:rPr>
                <w:rStyle w:val="14"/>
                <w:rFonts w:hint="eastAsia" w:ascii="宋体" w:hAnsi="宋体" w:eastAsia="宋体" w:cs="宋体"/>
                <w:color w:val="auto"/>
                <w:sz w:val="24"/>
                <w:szCs w:val="24"/>
                <w:highlight w:val="none"/>
              </w:rPr>
            </w:pPr>
          </w:p>
        </w:tc>
      </w:tr>
      <w:tr w14:paraId="25AD9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403E2D4A">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399AC8F9">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7A42BDA9">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6CC0C275">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A12285C">
            <w:pPr>
              <w:pStyle w:val="15"/>
              <w:spacing w:line="480" w:lineRule="auto"/>
              <w:jc w:val="center"/>
              <w:rPr>
                <w:rStyle w:val="14"/>
                <w:rFonts w:hint="eastAsia" w:ascii="宋体" w:hAnsi="宋体" w:eastAsia="宋体" w:cs="宋体"/>
                <w:color w:val="auto"/>
                <w:sz w:val="24"/>
                <w:szCs w:val="24"/>
                <w:highlight w:val="none"/>
              </w:rPr>
            </w:pPr>
          </w:p>
        </w:tc>
      </w:tr>
      <w:tr w14:paraId="662CA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0D738693">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741F3618">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47089544">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6B108047">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1119CC71">
            <w:pPr>
              <w:pStyle w:val="15"/>
              <w:spacing w:line="480" w:lineRule="auto"/>
              <w:jc w:val="center"/>
              <w:rPr>
                <w:rStyle w:val="14"/>
                <w:rFonts w:hint="eastAsia" w:ascii="宋体" w:hAnsi="宋体" w:eastAsia="宋体" w:cs="宋体"/>
                <w:color w:val="auto"/>
                <w:sz w:val="24"/>
                <w:szCs w:val="24"/>
                <w:highlight w:val="none"/>
              </w:rPr>
            </w:pPr>
          </w:p>
        </w:tc>
      </w:tr>
      <w:tr w14:paraId="148BF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7498D7FE">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54E0693C">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2D8829EE">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27993355">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6FA66BC">
            <w:pPr>
              <w:pStyle w:val="15"/>
              <w:spacing w:line="480" w:lineRule="auto"/>
              <w:jc w:val="center"/>
              <w:rPr>
                <w:rStyle w:val="14"/>
                <w:rFonts w:hint="eastAsia" w:ascii="宋体" w:hAnsi="宋体" w:eastAsia="宋体" w:cs="宋体"/>
                <w:color w:val="auto"/>
                <w:sz w:val="24"/>
                <w:szCs w:val="24"/>
                <w:highlight w:val="none"/>
              </w:rPr>
            </w:pPr>
          </w:p>
        </w:tc>
      </w:tr>
      <w:tr w14:paraId="62591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4E645ADD">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5A354E16">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0934D237">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692CAE93">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6006D864">
            <w:pPr>
              <w:pStyle w:val="15"/>
              <w:spacing w:line="480" w:lineRule="auto"/>
              <w:jc w:val="center"/>
              <w:rPr>
                <w:rStyle w:val="14"/>
                <w:rFonts w:hint="eastAsia" w:ascii="宋体" w:hAnsi="宋体" w:eastAsia="宋体" w:cs="宋体"/>
                <w:color w:val="auto"/>
                <w:sz w:val="24"/>
                <w:szCs w:val="24"/>
                <w:highlight w:val="none"/>
              </w:rPr>
            </w:pPr>
          </w:p>
        </w:tc>
      </w:tr>
      <w:tr w14:paraId="32459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2A5D6176">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75899A82">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2381F1DA">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4B9FBBD9">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1967CCE5">
            <w:pPr>
              <w:pStyle w:val="15"/>
              <w:spacing w:line="480" w:lineRule="auto"/>
              <w:jc w:val="center"/>
              <w:rPr>
                <w:rStyle w:val="14"/>
                <w:rFonts w:hint="eastAsia" w:ascii="宋体" w:hAnsi="宋体" w:eastAsia="宋体" w:cs="宋体"/>
                <w:color w:val="auto"/>
                <w:sz w:val="24"/>
                <w:szCs w:val="24"/>
                <w:highlight w:val="none"/>
              </w:rPr>
            </w:pPr>
          </w:p>
        </w:tc>
      </w:tr>
      <w:tr w14:paraId="75EE6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19992A34">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386EEE3A">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1A0541B3">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5F5152A5">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41207F6B">
            <w:pPr>
              <w:pStyle w:val="15"/>
              <w:spacing w:line="480" w:lineRule="auto"/>
              <w:jc w:val="center"/>
              <w:rPr>
                <w:rStyle w:val="14"/>
                <w:rFonts w:hint="eastAsia" w:ascii="宋体" w:hAnsi="宋体" w:eastAsia="宋体" w:cs="宋体"/>
                <w:color w:val="auto"/>
                <w:sz w:val="24"/>
                <w:szCs w:val="24"/>
                <w:highlight w:val="none"/>
              </w:rPr>
            </w:pPr>
          </w:p>
        </w:tc>
      </w:tr>
      <w:tr w14:paraId="5CA77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6114954A">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510D32F4">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3BA8B080">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226B2F0A">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0A87B6F1">
            <w:pPr>
              <w:pStyle w:val="15"/>
              <w:spacing w:line="480" w:lineRule="auto"/>
              <w:jc w:val="center"/>
              <w:rPr>
                <w:rStyle w:val="14"/>
                <w:rFonts w:hint="eastAsia" w:ascii="宋体" w:hAnsi="宋体" w:eastAsia="宋体" w:cs="宋体"/>
                <w:color w:val="auto"/>
                <w:sz w:val="24"/>
                <w:szCs w:val="24"/>
                <w:highlight w:val="none"/>
              </w:rPr>
            </w:pPr>
          </w:p>
        </w:tc>
      </w:tr>
    </w:tbl>
    <w:p w14:paraId="114CC420">
      <w:pPr>
        <w:pStyle w:val="9"/>
        <w:rPr>
          <w:rFonts w:hint="eastAsia" w:ascii="宋体" w:hAnsi="宋体" w:eastAsia="宋体" w:cs="宋体"/>
          <w:b/>
          <w:bCs/>
          <w:color w:val="auto"/>
          <w:sz w:val="24"/>
          <w:szCs w:val="24"/>
          <w:highlight w:val="none"/>
          <w:lang w:val="en-US" w:eastAsia="zh-CN"/>
        </w:rPr>
      </w:pPr>
    </w:p>
    <w:p w14:paraId="1C95FA63">
      <w:pPr>
        <w:pStyle w:val="9"/>
        <w:rPr>
          <w:rFonts w:hint="eastAsia" w:ascii="宋体" w:hAnsi="宋体" w:eastAsia="宋体" w:cs="宋体"/>
          <w:b/>
          <w:bCs/>
          <w:color w:val="auto"/>
          <w:sz w:val="24"/>
          <w:szCs w:val="24"/>
          <w:highlight w:val="none"/>
          <w:lang w:val="en-US" w:eastAsia="zh-CN"/>
        </w:rPr>
      </w:pPr>
    </w:p>
    <w:p w14:paraId="7B0DA25B">
      <w:pPr>
        <w:pStyle w:val="9"/>
        <w:ind w:left="0" w:leftChars="0" w:firstLine="0" w:firstLineChars="0"/>
        <w:rPr>
          <w:sz w:val="32"/>
          <w:highlight w:val="none"/>
        </w:rPr>
      </w:pPr>
      <w:r>
        <w:rPr>
          <w:rFonts w:hint="eastAsia" w:ascii="宋体" w:hAnsi="宋体" w:cs="宋体"/>
          <w:b/>
          <w:bCs/>
          <w:color w:val="auto"/>
          <w:sz w:val="24"/>
          <w:szCs w:val="24"/>
          <w:highlight w:val="none"/>
          <w:lang w:val="en-US" w:eastAsia="zh-CN"/>
        </w:rPr>
        <w:t>注：</w:t>
      </w:r>
      <w:r>
        <w:rPr>
          <w:b/>
          <w:bCs/>
          <w:color w:val="auto"/>
          <w:highlight w:val="none"/>
        </w:rPr>
        <w:t>施工管理人员</w:t>
      </w:r>
      <w:r>
        <w:rPr>
          <w:rFonts w:hint="eastAsia"/>
          <w:b/>
          <w:bCs/>
          <w:color w:val="auto"/>
          <w:highlight w:val="none"/>
          <w:lang w:val="en-US" w:eastAsia="zh-CN"/>
        </w:rPr>
        <w:t>不低于1人，劳资资料管理人员不低于1人，安全协管人员不低于1人，劳务造价专员不低于1人。</w:t>
      </w:r>
    </w:p>
    <w:p w14:paraId="3CD3BE00">
      <w:pPr>
        <w:rPr>
          <w:rFonts w:hint="default" w:ascii="仿宋_GB2312" w:hAnsi="仿宋_GB2312" w:eastAsia="仿宋_GB2312" w:cs="仿宋_GB2312"/>
          <w:b/>
          <w:bCs/>
          <w:sz w:val="30"/>
          <w:szCs w:val="30"/>
          <w:highlight w:val="none"/>
          <w:lang w:val="en-US" w:eastAsia="zh-CN"/>
        </w:rPr>
      </w:pPr>
      <w:r>
        <w:rPr>
          <w:rFonts w:hint="default" w:ascii="仿宋_GB2312" w:hAnsi="仿宋_GB2312" w:eastAsia="仿宋_GB2312" w:cs="仿宋_GB2312"/>
          <w:b/>
          <w:bCs/>
          <w:sz w:val="30"/>
          <w:szCs w:val="30"/>
          <w:highlight w:val="none"/>
          <w:lang w:val="en-US" w:eastAsia="zh-CN"/>
        </w:rPr>
        <w:br w:type="page"/>
      </w:r>
    </w:p>
    <w:p w14:paraId="27E6FF14">
      <w:pPr>
        <w:rPr>
          <w:rFonts w:hint="default" w:ascii="仿宋_GB2312" w:hAnsi="仿宋_GB2312" w:eastAsia="仿宋_GB2312" w:cs="仿宋_GB2312"/>
          <w:b/>
          <w:bCs/>
          <w:kern w:val="0"/>
          <w:sz w:val="30"/>
          <w:szCs w:val="30"/>
          <w:highlight w:val="none"/>
          <w:lang w:val="en-US" w:eastAsia="zh-CN" w:bidi="ar-SA"/>
        </w:rPr>
      </w:pPr>
      <w:r>
        <w:rPr>
          <w:rFonts w:hint="eastAsia" w:ascii="仿宋_GB2312" w:hAnsi="仿宋_GB2312" w:eastAsia="仿宋_GB2312" w:cs="仿宋_GB2312"/>
          <w:b/>
          <w:bCs/>
          <w:kern w:val="0"/>
          <w:sz w:val="30"/>
          <w:szCs w:val="30"/>
          <w:highlight w:val="none"/>
          <w:lang w:val="en-US" w:eastAsia="zh-CN" w:bidi="ar-SA"/>
        </w:rPr>
        <w:t>附件三</w:t>
      </w:r>
    </w:p>
    <w:p w14:paraId="08271571">
      <w:pPr>
        <w:rPr>
          <w:rFonts w:hint="eastAsia" w:ascii="仿宋_GB2312" w:hAnsi="仿宋_GB2312" w:eastAsia="仿宋_GB2312" w:cs="仿宋_GB2312"/>
          <w:sz w:val="30"/>
          <w:szCs w:val="30"/>
          <w:highlight w:val="none"/>
        </w:rPr>
      </w:pPr>
      <w:r>
        <w:rPr>
          <w:rFonts w:hint="eastAsia" w:ascii="仿宋_GB2312" w:hAnsi="仿宋_GB2312" w:eastAsia="仿宋_GB2312" w:cs="仿宋_GB2312"/>
          <w:kern w:val="0"/>
          <w:sz w:val="30"/>
          <w:szCs w:val="30"/>
          <w:highlight w:val="none"/>
          <w:lang w:val="en-US" w:eastAsia="zh-CN" w:bidi="ar-SA"/>
        </w:rPr>
        <w:t xml:space="preserve">                          综合评分表</w:t>
      </w:r>
    </w:p>
    <w:p w14:paraId="047FFC08">
      <w:pPr>
        <w:pStyle w:val="9"/>
        <w:widowControl w:val="0"/>
        <w:numPr>
          <w:ilvl w:val="0"/>
          <w:numId w:val="0"/>
        </w:numPr>
        <w:spacing w:after="0" w:line="360" w:lineRule="auto"/>
        <w:jc w:val="both"/>
        <w:rPr>
          <w:rFonts w:hint="default"/>
          <w:color w:val="auto"/>
          <w:highlight w:val="none"/>
          <w:u w:val="none"/>
          <w:lang w:val="en-US" w:eastAsia="zh-CN"/>
        </w:rPr>
      </w:pPr>
    </w:p>
    <w:tbl>
      <w:tblPr>
        <w:tblStyle w:val="10"/>
        <w:tblW w:w="889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871"/>
        <w:gridCol w:w="1658"/>
        <w:gridCol w:w="5320"/>
        <w:gridCol w:w="1049"/>
      </w:tblGrid>
      <w:tr w14:paraId="767B1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08" w:hRule="atLeast"/>
        </w:trPr>
        <w:tc>
          <w:tcPr>
            <w:tcW w:w="871"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22C9A410">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序号</w:t>
            </w:r>
          </w:p>
        </w:tc>
        <w:tc>
          <w:tcPr>
            <w:tcW w:w="1658"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58423900">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评比</w:t>
            </w:r>
          </w:p>
          <w:p w14:paraId="5624E87C">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项目</w:t>
            </w:r>
          </w:p>
        </w:tc>
        <w:tc>
          <w:tcPr>
            <w:tcW w:w="5320"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5307DA87">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评比内容</w:t>
            </w:r>
          </w:p>
        </w:tc>
        <w:tc>
          <w:tcPr>
            <w:tcW w:w="1049"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088A636D">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满分</w:t>
            </w:r>
          </w:p>
        </w:tc>
      </w:tr>
      <w:tr w14:paraId="4466C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43" w:hRule="atLeast"/>
        </w:trPr>
        <w:tc>
          <w:tcPr>
            <w:tcW w:w="87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240BABD4">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1</w:t>
            </w:r>
          </w:p>
        </w:tc>
        <w:tc>
          <w:tcPr>
            <w:tcW w:w="165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7B626CFA">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人员配置</w:t>
            </w:r>
          </w:p>
          <w:p w14:paraId="426B00D2">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(10分)</w:t>
            </w:r>
          </w:p>
        </w:tc>
        <w:tc>
          <w:tcPr>
            <w:tcW w:w="532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75532E40">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1、安排明确专门的管理实施团队及其岗位责任，符合项目要求的得10分;</w:t>
            </w:r>
          </w:p>
          <w:p w14:paraId="6A244CC1">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2、不太明确专门的管理实施团队及其岗位责任，较符合项目要求的得6分;</w:t>
            </w:r>
          </w:p>
          <w:p w14:paraId="730A748F">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3、不满足要求或不提供者不得分。</w:t>
            </w:r>
          </w:p>
          <w:p w14:paraId="495D9016">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p>
        </w:tc>
        <w:tc>
          <w:tcPr>
            <w:tcW w:w="1049"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51EC1D84">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10</w:t>
            </w:r>
          </w:p>
        </w:tc>
      </w:tr>
      <w:tr w14:paraId="3528A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56" w:hRule="atLeast"/>
        </w:trPr>
        <w:tc>
          <w:tcPr>
            <w:tcW w:w="87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41D46600">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2</w:t>
            </w:r>
          </w:p>
        </w:tc>
        <w:tc>
          <w:tcPr>
            <w:tcW w:w="165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13010A91">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施工方案</w:t>
            </w:r>
          </w:p>
          <w:p w14:paraId="066A587E">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（20分）</w:t>
            </w:r>
          </w:p>
        </w:tc>
        <w:tc>
          <w:tcPr>
            <w:tcW w:w="532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51CF10BC">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分包单位提供的施工方案与技术措施进行比较评分，施工方案包括但不仅限于项目管理机构配备方案、进度计划保证措施方案、质量管理目标及措施方案、安全施工保证措施方案、文明施工保证措施方案:</w:t>
            </w:r>
          </w:p>
          <w:p w14:paraId="55C791CF">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1、施工方案与技术措施科学合理，适用性强，思路清晰内容全面，能够根据实际情况制订，满足甲方的需要考虑问题周全，实施过程务实，各项指标均能完成得20分；</w:t>
            </w:r>
          </w:p>
          <w:p w14:paraId="439816C4">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2、施工方案与技术措施能够满足施工需要，实施性较强得15分;</w:t>
            </w:r>
          </w:p>
          <w:p w14:paraId="7FB7A7B7">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3、施工方案与技术措施基本满足施工要求得12分；</w:t>
            </w:r>
          </w:p>
          <w:p w14:paraId="6DA881D7">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4、不满足要求或不提供者不得分。</w:t>
            </w:r>
          </w:p>
        </w:tc>
        <w:tc>
          <w:tcPr>
            <w:tcW w:w="1049"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750B4D0D">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eastAsia="zh-CN" w:bidi="ar-SA"/>
              </w:rPr>
            </w:pPr>
            <w:r>
              <w:rPr>
                <w:rFonts w:hint="eastAsia" w:ascii="仿宋_GB2312" w:hAnsi="仿宋_GB2312" w:eastAsia="仿宋_GB2312" w:cs="仿宋_GB2312"/>
                <w:kern w:val="0"/>
                <w:sz w:val="30"/>
                <w:szCs w:val="30"/>
                <w:highlight w:val="none"/>
                <w:lang w:val="en-US" w:eastAsia="zh-CN" w:bidi="ar-SA"/>
              </w:rPr>
              <w:t>2</w:t>
            </w:r>
            <w:r>
              <w:rPr>
                <w:rFonts w:hint="eastAsia" w:ascii="仿宋_GB2312" w:hAnsi="仿宋_GB2312" w:eastAsia="仿宋_GB2312" w:cs="仿宋_GB2312"/>
                <w:kern w:val="0"/>
                <w:sz w:val="30"/>
                <w:szCs w:val="30"/>
                <w:highlight w:val="none"/>
                <w:lang w:eastAsia="zh-CN" w:bidi="ar-SA"/>
              </w:rPr>
              <w:t>0</w:t>
            </w:r>
          </w:p>
        </w:tc>
      </w:tr>
      <w:tr w14:paraId="3FD10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83" w:hRule="atLeast"/>
        </w:trPr>
        <w:tc>
          <w:tcPr>
            <w:tcW w:w="87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403CBCB7">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default"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3</w:t>
            </w:r>
          </w:p>
        </w:tc>
        <w:tc>
          <w:tcPr>
            <w:tcW w:w="165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79188850">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业绩要求  （10分）</w:t>
            </w:r>
          </w:p>
        </w:tc>
        <w:tc>
          <w:tcPr>
            <w:tcW w:w="532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1AF9FB3D">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联合体牵头单位、成员单位在近3年期间（2022年2月至今）,在遂宁市内（含区、县、乡）所承包的工程（施工）业务；</w:t>
            </w:r>
          </w:p>
          <w:p w14:paraId="42A93B53">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①合同金额在200万以上，以竣工的时间和金额为准，每一个项目得2分；</w:t>
            </w:r>
          </w:p>
          <w:p w14:paraId="644BA23D">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②合同金额在500万以上，以竣工的时间和金额为准，每一个项目得5分；</w:t>
            </w:r>
          </w:p>
          <w:p w14:paraId="4751CCCB">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③有优良工程业绩证明的得3分。</w:t>
            </w:r>
          </w:p>
          <w:p w14:paraId="7E15861A">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个人业绩最高得分为10分，超过10分的按10分计算。</w:t>
            </w:r>
          </w:p>
          <w:p w14:paraId="43D65BFB">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仿宋_GB2312" w:hAnsi="仿宋_GB2312" w:eastAsia="仿宋_GB2312" w:cs="仿宋_GB2312"/>
                <w:kern w:val="0"/>
                <w:sz w:val="24"/>
                <w:szCs w:val="24"/>
                <w:highlight w:val="none"/>
                <w:lang w:val="en-US" w:eastAsia="zh-CN" w:bidi="ar-SA"/>
              </w:rPr>
            </w:pPr>
            <w:r>
              <w:rPr>
                <w:rFonts w:hint="eastAsia" w:ascii="微软雅黑" w:hAnsi="微软雅黑" w:eastAsia="微软雅黑" w:cs="微软雅黑"/>
                <w:kern w:val="0"/>
                <w:sz w:val="24"/>
                <w:szCs w:val="24"/>
                <w:highlight w:val="none"/>
                <w:lang w:val="en-US" w:eastAsia="zh-CN" w:bidi="ar-SA"/>
              </w:rPr>
              <w:t>④</w:t>
            </w:r>
            <w:r>
              <w:rPr>
                <w:rFonts w:hint="eastAsia" w:ascii="仿宋_GB2312" w:hAnsi="仿宋_GB2312" w:eastAsia="仿宋_GB2312" w:cs="仿宋_GB2312"/>
                <w:kern w:val="0"/>
                <w:sz w:val="24"/>
                <w:szCs w:val="24"/>
                <w:highlight w:val="none"/>
                <w:lang w:val="en-US" w:eastAsia="zh-CN" w:bidi="ar-SA"/>
              </w:rPr>
              <w:t>业绩资料不完整不得分。</w:t>
            </w:r>
          </w:p>
        </w:tc>
        <w:tc>
          <w:tcPr>
            <w:tcW w:w="1049"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50BB5351">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eastAsia="zh-CN" w:bidi="ar-SA"/>
              </w:rPr>
            </w:pPr>
            <w:r>
              <w:rPr>
                <w:rFonts w:hint="eastAsia" w:ascii="仿宋_GB2312" w:hAnsi="仿宋_GB2312" w:eastAsia="仿宋_GB2312" w:cs="仿宋_GB2312"/>
                <w:kern w:val="0"/>
                <w:sz w:val="30"/>
                <w:szCs w:val="30"/>
                <w:highlight w:val="none"/>
                <w:lang w:val="en-US" w:eastAsia="zh-CN" w:bidi="ar-SA"/>
              </w:rPr>
              <w:t>1</w:t>
            </w:r>
            <w:r>
              <w:rPr>
                <w:rFonts w:hint="eastAsia" w:ascii="仿宋_GB2312" w:hAnsi="仿宋_GB2312" w:eastAsia="仿宋_GB2312" w:cs="仿宋_GB2312"/>
                <w:kern w:val="0"/>
                <w:sz w:val="30"/>
                <w:szCs w:val="30"/>
                <w:highlight w:val="none"/>
                <w:lang w:eastAsia="zh-CN" w:bidi="ar-SA"/>
              </w:rPr>
              <w:t>0</w:t>
            </w:r>
          </w:p>
        </w:tc>
      </w:tr>
      <w:tr w14:paraId="79798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23" w:hRule="atLeast"/>
        </w:trPr>
        <w:tc>
          <w:tcPr>
            <w:tcW w:w="87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1C668788">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default"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4</w:t>
            </w:r>
          </w:p>
        </w:tc>
        <w:tc>
          <w:tcPr>
            <w:tcW w:w="165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408D31BE">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报价得分</w:t>
            </w:r>
          </w:p>
          <w:p w14:paraId="36DAC4FB">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（6</w:t>
            </w:r>
            <w:r>
              <w:rPr>
                <w:rFonts w:hint="eastAsia" w:ascii="仿宋_GB2312" w:hAnsi="仿宋_GB2312" w:eastAsia="仿宋_GB2312" w:cs="仿宋_GB2312"/>
                <w:kern w:val="0"/>
                <w:sz w:val="30"/>
                <w:szCs w:val="30"/>
                <w:highlight w:val="none"/>
                <w:lang w:eastAsia="zh-CN" w:bidi="ar-SA"/>
              </w:rPr>
              <w:t>0</w:t>
            </w:r>
            <w:r>
              <w:rPr>
                <w:rFonts w:hint="eastAsia" w:ascii="仿宋_GB2312" w:hAnsi="仿宋_GB2312" w:eastAsia="仿宋_GB2312" w:cs="仿宋_GB2312"/>
                <w:kern w:val="0"/>
                <w:sz w:val="30"/>
                <w:szCs w:val="30"/>
                <w:highlight w:val="none"/>
                <w:lang w:val="en-US" w:eastAsia="zh-CN" w:bidi="ar-SA"/>
              </w:rPr>
              <w:t>分）</w:t>
            </w:r>
          </w:p>
        </w:tc>
        <w:tc>
          <w:tcPr>
            <w:tcW w:w="532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626EEE5F">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评审基准价为所有有效报价的算术平均值。</w:t>
            </w:r>
          </w:p>
          <w:p w14:paraId="30099FD9">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报价偏差率=（参选单位报价-评审基准价）/评审基准价×100%</w:t>
            </w:r>
          </w:p>
          <w:p w14:paraId="74AE0627">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参选单位报价等于评审基准价时，报价得满分，其余报价按以下规则扣分：</w:t>
            </w:r>
          </w:p>
          <w:p w14:paraId="22C4797B">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报价偏差率每高1%的扣2分，每低1%的扣4分（扣完为止）。</w:t>
            </w:r>
          </w:p>
          <w:p w14:paraId="11FF1547">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both"/>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注：偏差率四舍五入，取整数计算。</w:t>
            </w:r>
          </w:p>
        </w:tc>
        <w:tc>
          <w:tcPr>
            <w:tcW w:w="1049"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76B3DF57">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eastAsia="zh-CN" w:bidi="ar-SA"/>
              </w:rPr>
            </w:pPr>
            <w:r>
              <w:rPr>
                <w:rFonts w:hint="eastAsia" w:ascii="仿宋_GB2312" w:hAnsi="仿宋_GB2312" w:eastAsia="仿宋_GB2312" w:cs="仿宋_GB2312"/>
                <w:kern w:val="0"/>
                <w:sz w:val="30"/>
                <w:szCs w:val="30"/>
                <w:highlight w:val="none"/>
                <w:lang w:val="en-US" w:eastAsia="zh-CN" w:bidi="ar-SA"/>
              </w:rPr>
              <w:t>6</w:t>
            </w:r>
            <w:r>
              <w:rPr>
                <w:rFonts w:hint="eastAsia" w:ascii="仿宋_GB2312" w:hAnsi="仿宋_GB2312" w:eastAsia="仿宋_GB2312" w:cs="仿宋_GB2312"/>
                <w:kern w:val="0"/>
                <w:sz w:val="30"/>
                <w:szCs w:val="30"/>
                <w:highlight w:val="none"/>
                <w:lang w:eastAsia="zh-CN" w:bidi="ar-SA"/>
              </w:rPr>
              <w:t>0</w:t>
            </w:r>
          </w:p>
        </w:tc>
      </w:tr>
      <w:tr w14:paraId="42C1C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89" w:hRule="atLeast"/>
        </w:trPr>
        <w:tc>
          <w:tcPr>
            <w:tcW w:w="87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762AEFE1">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default"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5</w:t>
            </w:r>
          </w:p>
        </w:tc>
        <w:tc>
          <w:tcPr>
            <w:tcW w:w="6978" w:type="dxa"/>
            <w:gridSpan w:val="2"/>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37581D63">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评比总得分（100分）</w:t>
            </w:r>
          </w:p>
        </w:tc>
        <w:tc>
          <w:tcPr>
            <w:tcW w:w="1049"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0AA6B4C6">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100</w:t>
            </w:r>
          </w:p>
        </w:tc>
      </w:tr>
    </w:tbl>
    <w:p w14:paraId="068F3EB7">
      <w:pPr>
        <w:pStyle w:val="9"/>
        <w:widowControl w:val="0"/>
        <w:numPr>
          <w:ilvl w:val="0"/>
          <w:numId w:val="0"/>
        </w:numPr>
        <w:spacing w:after="0" w:line="360" w:lineRule="auto"/>
        <w:jc w:val="both"/>
        <w:rPr>
          <w:rFonts w:hint="default"/>
          <w:color w:val="auto"/>
          <w:highlight w:val="none"/>
          <w:u w:val="none"/>
          <w:lang w:val="en-US" w:eastAsia="zh-CN"/>
        </w:rPr>
        <w:sectPr>
          <w:pgSz w:w="11906" w:h="16838"/>
          <w:pgMar w:top="1440" w:right="1803" w:bottom="1440" w:left="1803" w:header="851" w:footer="992" w:gutter="0"/>
          <w:cols w:space="720" w:num="1"/>
          <w:rtlGutter w:val="0"/>
          <w:docGrid w:type="lines" w:linePitch="319" w:charSpace="0"/>
        </w:sectPr>
      </w:pPr>
    </w:p>
    <w:p w14:paraId="523D1750">
      <w:pPr>
        <w:pStyle w:val="12"/>
        <w:outlineLvl w:val="0"/>
        <w:rPr>
          <w:rFonts w:hint="eastAsia"/>
          <w:highlight w:val="none"/>
          <w:lang w:val="en-US" w:eastAsia="zh-CN"/>
        </w:rPr>
      </w:pPr>
      <w:r>
        <w:rPr>
          <w:highlight w:val="none"/>
        </w:rPr>
        <w:t>附件</w:t>
      </w:r>
      <w:r>
        <w:rPr>
          <w:rFonts w:hint="eastAsia"/>
          <w:highlight w:val="none"/>
          <w:lang w:val="en-US" w:eastAsia="zh-CN"/>
        </w:rPr>
        <w:t>四：</w:t>
      </w:r>
    </w:p>
    <w:p w14:paraId="5D0A8F53">
      <w:pPr>
        <w:pStyle w:val="16"/>
        <w:outlineLvl w:val="9"/>
        <w:rPr>
          <w:highlight w:val="none"/>
        </w:rPr>
      </w:pPr>
      <w:r>
        <w:rPr>
          <w:highlight w:val="none"/>
          <w:u w:val="single"/>
        </w:rPr>
        <w:t xml:space="preserve"> </w:t>
      </w:r>
      <w:r>
        <w:rPr>
          <w:rFonts w:hint="eastAsia"/>
          <w:color w:val="auto"/>
          <w:highlight w:val="none"/>
          <w:u w:val="single"/>
          <w:lang w:val="en-US" w:eastAsia="zh-CN"/>
        </w:rPr>
        <w:t>遂宁市安居区冷链物流中心及配套设施建设项目</w:t>
      </w:r>
      <w:r>
        <w:rPr>
          <w:highlight w:val="none"/>
          <w:u w:val="single"/>
        </w:rPr>
        <w:t xml:space="preserve">  </w:t>
      </w:r>
    </w:p>
    <w:p w14:paraId="46957218">
      <w:pPr>
        <w:pStyle w:val="16"/>
        <w:outlineLvl w:val="9"/>
        <w:rPr>
          <w:highlight w:val="none"/>
        </w:rPr>
      </w:pPr>
      <w:r>
        <w:rPr>
          <w:highlight w:val="none"/>
        </w:rPr>
        <w:t>报价表</w:t>
      </w:r>
    </w:p>
    <w:tbl>
      <w:tblPr>
        <w:tblStyle w:val="10"/>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0"/>
        <w:gridCol w:w="3369"/>
        <w:gridCol w:w="3021"/>
        <w:gridCol w:w="4741"/>
        <w:gridCol w:w="2162"/>
      </w:tblGrid>
      <w:tr w14:paraId="186D6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9" w:hRule="atLeast"/>
        </w:trPr>
        <w:tc>
          <w:tcPr>
            <w:tcW w:w="307" w:type="pct"/>
            <w:noWrap w:val="0"/>
            <w:vAlign w:val="center"/>
          </w:tcPr>
          <w:p w14:paraId="4021FCA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0"/>
                <w:szCs w:val="30"/>
                <w:highlight w:val="none"/>
              </w:rPr>
            </w:pPr>
            <w:r>
              <w:rPr>
                <w:rFonts w:hint="eastAsia" w:ascii="仿宋_GB2312" w:hAnsi="仿宋_GB2312" w:eastAsia="仿宋_GB2312" w:cs="仿宋_GB2312"/>
                <w:b/>
                <w:bCs/>
                <w:sz w:val="30"/>
                <w:szCs w:val="30"/>
                <w:highlight w:val="none"/>
              </w:rPr>
              <w:t>序号</w:t>
            </w:r>
          </w:p>
        </w:tc>
        <w:tc>
          <w:tcPr>
            <w:tcW w:w="1189" w:type="pct"/>
            <w:noWrap w:val="0"/>
            <w:vAlign w:val="center"/>
          </w:tcPr>
          <w:p w14:paraId="0C9FC1E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bCs/>
                <w:sz w:val="30"/>
                <w:szCs w:val="30"/>
                <w:highlight w:val="none"/>
                <w:lang w:val="en-US" w:eastAsia="zh-CN"/>
              </w:rPr>
            </w:pPr>
            <w:r>
              <w:rPr>
                <w:rFonts w:hint="eastAsia" w:ascii="仿宋_GB2312" w:hAnsi="仿宋_GB2312" w:eastAsia="仿宋_GB2312" w:cs="仿宋_GB2312"/>
                <w:b/>
                <w:bCs/>
                <w:sz w:val="30"/>
                <w:szCs w:val="30"/>
                <w:highlight w:val="none"/>
                <w:lang w:val="en-US" w:eastAsia="zh-CN"/>
              </w:rPr>
              <w:t>工程内容</w:t>
            </w:r>
          </w:p>
        </w:tc>
        <w:tc>
          <w:tcPr>
            <w:tcW w:w="1066" w:type="pct"/>
            <w:noWrap w:val="0"/>
            <w:vAlign w:val="center"/>
          </w:tcPr>
          <w:p w14:paraId="2F669A5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0"/>
                <w:szCs w:val="30"/>
                <w:highlight w:val="none"/>
              </w:rPr>
            </w:pPr>
            <w:bookmarkStart w:id="0" w:name="_GoBack"/>
            <w:bookmarkEnd w:id="0"/>
            <w:r>
              <w:rPr>
                <w:rFonts w:hint="eastAsia" w:ascii="仿宋_GB2312" w:hAnsi="仿宋_GB2312" w:eastAsia="仿宋_GB2312" w:cs="仿宋_GB2312"/>
                <w:b/>
                <w:bCs/>
                <w:sz w:val="30"/>
                <w:szCs w:val="30"/>
                <w:highlight w:val="none"/>
              </w:rPr>
              <w:t>工程规模</w:t>
            </w:r>
          </w:p>
        </w:tc>
        <w:tc>
          <w:tcPr>
            <w:tcW w:w="1673" w:type="pct"/>
            <w:noWrap w:val="0"/>
            <w:vAlign w:val="center"/>
          </w:tcPr>
          <w:p w14:paraId="2038722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0"/>
                <w:szCs w:val="30"/>
                <w:highlight w:val="none"/>
                <w:lang w:eastAsia="zh-CN"/>
              </w:rPr>
            </w:pPr>
            <w:r>
              <w:rPr>
                <w:rFonts w:hint="eastAsia" w:ascii="仿宋_GB2312" w:hAnsi="仿宋_GB2312" w:eastAsia="仿宋_GB2312" w:cs="仿宋_GB2312"/>
                <w:b/>
                <w:bCs/>
                <w:sz w:val="30"/>
                <w:szCs w:val="30"/>
                <w:highlight w:val="none"/>
                <w:lang w:val="en-US" w:eastAsia="zh-CN"/>
              </w:rPr>
              <w:t>控制价</w:t>
            </w:r>
          </w:p>
        </w:tc>
        <w:tc>
          <w:tcPr>
            <w:tcW w:w="763" w:type="pct"/>
            <w:noWrap w:val="0"/>
            <w:vAlign w:val="center"/>
          </w:tcPr>
          <w:p w14:paraId="5221EDD5">
            <w:pPr>
              <w:jc w:val="center"/>
              <w:rPr>
                <w:rFonts w:hint="eastAsia" w:ascii="仿宋_GB2312" w:hAnsi="仿宋_GB2312" w:eastAsia="仿宋_GB2312" w:cs="仿宋_GB2312"/>
                <w:b/>
                <w:bCs/>
                <w:sz w:val="30"/>
                <w:szCs w:val="30"/>
                <w:highlight w:val="none"/>
                <w:lang w:val="en-US" w:eastAsia="zh-CN"/>
              </w:rPr>
            </w:pPr>
            <w:r>
              <w:rPr>
                <w:rFonts w:hint="eastAsia" w:ascii="仿宋_GB2312" w:hAnsi="仿宋_GB2312" w:eastAsia="仿宋_GB2312" w:cs="仿宋_GB2312"/>
                <w:b/>
                <w:bCs/>
                <w:sz w:val="30"/>
                <w:szCs w:val="30"/>
                <w:highlight w:val="none"/>
                <w:lang w:val="en-US" w:eastAsia="zh-CN"/>
              </w:rPr>
              <w:t>下浮比例（%）</w:t>
            </w:r>
          </w:p>
        </w:tc>
      </w:tr>
      <w:tr w14:paraId="25651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9" w:hRule="atLeast"/>
        </w:trPr>
        <w:tc>
          <w:tcPr>
            <w:tcW w:w="307" w:type="pct"/>
            <w:noWrap w:val="0"/>
            <w:vAlign w:val="center"/>
          </w:tcPr>
          <w:p w14:paraId="2DA1088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1</w:t>
            </w:r>
          </w:p>
        </w:tc>
        <w:tc>
          <w:tcPr>
            <w:tcW w:w="1189" w:type="pct"/>
            <w:noWrap w:val="0"/>
            <w:vAlign w:val="center"/>
          </w:tcPr>
          <w:p w14:paraId="66FD963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劳务分包</w:t>
            </w:r>
          </w:p>
        </w:tc>
        <w:tc>
          <w:tcPr>
            <w:tcW w:w="1066" w:type="pct"/>
            <w:noWrap w:val="0"/>
            <w:vAlign w:val="center"/>
          </w:tcPr>
          <w:p w14:paraId="3850679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1200" w:firstLineChars="400"/>
              <w:textAlignment w:val="auto"/>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i w:val="0"/>
                <w:iCs w:val="0"/>
                <w:color w:val="000000"/>
                <w:sz w:val="30"/>
                <w:szCs w:val="30"/>
                <w:highlight w:val="none"/>
                <w:u w:val="none"/>
                <w:lang w:val="en-US" w:eastAsia="zh-CN"/>
              </w:rPr>
              <w:t>详概况</w:t>
            </w:r>
          </w:p>
        </w:tc>
        <w:tc>
          <w:tcPr>
            <w:tcW w:w="1673" w:type="pct"/>
            <w:noWrap w:val="0"/>
            <w:vAlign w:val="center"/>
          </w:tcPr>
          <w:p w14:paraId="2E25AE9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highlight w:val="none"/>
                <w:u w:val="single"/>
                <w:lang w:val="en-US" w:eastAsia="zh-CN"/>
              </w:rPr>
            </w:pPr>
            <w:r>
              <w:rPr>
                <w:rFonts w:hint="eastAsia" w:ascii="仿宋_GB2312" w:hAnsi="仿宋_GB2312" w:eastAsia="仿宋_GB2312" w:cs="仿宋_GB2312"/>
                <w:sz w:val="30"/>
                <w:szCs w:val="30"/>
                <w:highlight w:val="none"/>
                <w:u w:val="single"/>
                <w:lang w:val="en-US" w:eastAsia="zh-CN"/>
              </w:rPr>
              <w:t>下浮 15 %作为限低价</w:t>
            </w:r>
          </w:p>
          <w:p w14:paraId="6490928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highlight w:val="none"/>
                <w:u w:val="single"/>
                <w:lang w:val="en-US" w:eastAsia="zh-CN"/>
              </w:rPr>
            </w:pPr>
            <w:r>
              <w:rPr>
                <w:rFonts w:hint="eastAsia" w:ascii="仿宋_GB2312" w:hAnsi="仿宋_GB2312" w:eastAsia="仿宋_GB2312" w:cs="仿宋_GB2312"/>
                <w:sz w:val="30"/>
                <w:szCs w:val="30"/>
                <w:highlight w:val="none"/>
                <w:u w:val="single"/>
                <w:lang w:val="en-US" w:eastAsia="zh-CN"/>
              </w:rPr>
              <w:t>下浮 10 %作为限高价</w:t>
            </w:r>
          </w:p>
          <w:p w14:paraId="183449C0">
            <w:pPr>
              <w:pStyle w:val="9"/>
              <w:ind w:left="0" w:leftChars="0" w:firstLine="0" w:firstLineChars="0"/>
              <w:rPr>
                <w:rFonts w:hint="eastAsia"/>
                <w:highlight w:val="none"/>
                <w:lang w:val="en-US" w:eastAsia="zh-CN"/>
              </w:rPr>
            </w:pPr>
          </w:p>
        </w:tc>
        <w:tc>
          <w:tcPr>
            <w:tcW w:w="763" w:type="pct"/>
            <w:noWrap w:val="0"/>
            <w:vAlign w:val="center"/>
          </w:tcPr>
          <w:p w14:paraId="349BD7E3">
            <w:pPr>
              <w:jc w:val="center"/>
              <w:rPr>
                <w:rFonts w:hint="eastAsia" w:ascii="仿宋_GB2312" w:hAnsi="仿宋_GB2312" w:eastAsia="仿宋_GB2312" w:cs="仿宋_GB2312"/>
                <w:sz w:val="30"/>
                <w:szCs w:val="30"/>
                <w:highlight w:val="none"/>
              </w:rPr>
            </w:pPr>
          </w:p>
        </w:tc>
      </w:tr>
    </w:tbl>
    <w:p w14:paraId="67B531A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Times New Roman"/>
          <w:sz w:val="24"/>
          <w:szCs w:val="30"/>
          <w:highlight w:val="none"/>
          <w:lang w:eastAsia="zh-CN"/>
        </w:rPr>
      </w:pPr>
      <w:r>
        <w:rPr>
          <w:rFonts w:hint="eastAsia" w:ascii="Times New Roman" w:hAnsi="Times New Roman" w:eastAsia="宋体" w:cs="Times New Roman"/>
          <w:sz w:val="24"/>
          <w:szCs w:val="30"/>
          <w:highlight w:val="none"/>
          <w:lang w:val="en-US" w:eastAsia="zh-CN"/>
        </w:rPr>
        <w:t xml:space="preserve">                                                   </w:t>
      </w:r>
      <w:r>
        <w:rPr>
          <w:rFonts w:hint="eastAsia" w:ascii="Times New Roman" w:hAnsi="Times New Roman" w:eastAsia="宋体" w:cs="Times New Roman"/>
          <w:sz w:val="24"/>
          <w:szCs w:val="30"/>
          <w:highlight w:val="none"/>
        </w:rPr>
        <w:t>联系人</w:t>
      </w:r>
      <w:r>
        <w:rPr>
          <w:rFonts w:hint="eastAsia" w:ascii="Times New Roman" w:hAnsi="Times New Roman" w:eastAsia="宋体" w:cs="Times New Roman"/>
          <w:sz w:val="24"/>
          <w:szCs w:val="30"/>
          <w:highlight w:val="none"/>
          <w:lang w:eastAsia="zh-CN"/>
        </w:rPr>
        <w:t>：</w:t>
      </w:r>
    </w:p>
    <w:p w14:paraId="11C2538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Times New Roman"/>
          <w:sz w:val="24"/>
          <w:szCs w:val="30"/>
          <w:highlight w:val="none"/>
        </w:rPr>
      </w:pPr>
      <w:r>
        <w:rPr>
          <w:rFonts w:hint="eastAsia" w:ascii="Times New Roman" w:hAnsi="Times New Roman" w:eastAsia="宋体" w:cs="Times New Roman"/>
          <w:sz w:val="24"/>
          <w:szCs w:val="30"/>
          <w:highlight w:val="none"/>
          <w:lang w:val="en-US" w:eastAsia="zh-CN"/>
        </w:rPr>
        <w:t xml:space="preserve">                                                   </w:t>
      </w:r>
      <w:r>
        <w:rPr>
          <w:rFonts w:hint="eastAsia" w:ascii="Times New Roman" w:hAnsi="Times New Roman" w:eastAsia="宋体" w:cs="Times New Roman"/>
          <w:sz w:val="24"/>
          <w:szCs w:val="30"/>
          <w:highlight w:val="none"/>
        </w:rPr>
        <w:t>电</w:t>
      </w:r>
      <w:r>
        <w:rPr>
          <w:rFonts w:hint="eastAsia" w:ascii="Times New Roman" w:hAnsi="Times New Roman" w:eastAsia="宋体" w:cs="Times New Roman"/>
          <w:sz w:val="24"/>
          <w:szCs w:val="30"/>
          <w:highlight w:val="none"/>
          <w:lang w:val="en-US" w:eastAsia="zh-CN"/>
        </w:rPr>
        <w:t xml:space="preserve"> </w:t>
      </w:r>
      <w:r>
        <w:rPr>
          <w:rFonts w:hint="eastAsia" w:ascii="Times New Roman" w:hAnsi="Times New Roman" w:eastAsia="宋体" w:cs="Times New Roman"/>
          <w:sz w:val="24"/>
          <w:szCs w:val="30"/>
          <w:highlight w:val="none"/>
        </w:rPr>
        <w:t>话：</w:t>
      </w:r>
    </w:p>
    <w:p w14:paraId="45B2DA94">
      <w:pPr>
        <w:keepNext w:val="0"/>
        <w:keepLines w:val="0"/>
        <w:pageBreakBefore w:val="0"/>
        <w:widowControl w:val="0"/>
        <w:kinsoku/>
        <w:wordWrap/>
        <w:overflowPunct/>
        <w:topLinePunct w:val="0"/>
        <w:autoSpaceDE/>
        <w:autoSpaceDN/>
        <w:bidi w:val="0"/>
        <w:adjustRightInd/>
        <w:snapToGrid/>
        <w:spacing w:line="560" w:lineRule="exact"/>
        <w:textAlignment w:val="auto"/>
        <w:rPr>
          <w:highlight w:val="none"/>
        </w:rPr>
      </w:pPr>
      <w:r>
        <w:rPr>
          <w:rFonts w:hint="eastAsia" w:ascii="Times New Roman" w:hAnsi="Times New Roman" w:eastAsia="宋体" w:cs="Times New Roman"/>
          <w:sz w:val="24"/>
          <w:szCs w:val="30"/>
          <w:highlight w:val="none"/>
        </w:rPr>
        <w:t xml:space="preserve">                                                                </w:t>
      </w:r>
      <w:r>
        <w:rPr>
          <w:rFonts w:hint="eastAsia" w:ascii="Times New Roman" w:hAnsi="Times New Roman" w:eastAsia="宋体" w:cs="Times New Roman"/>
          <w:sz w:val="24"/>
          <w:szCs w:val="30"/>
          <w:highlight w:val="none"/>
          <w:lang w:val="en-US" w:eastAsia="zh-CN"/>
        </w:rPr>
        <w:t xml:space="preserve">             </w:t>
      </w:r>
      <w:r>
        <w:rPr>
          <w:rFonts w:hint="eastAsia" w:ascii="Times New Roman" w:hAnsi="Times New Roman" w:eastAsia="宋体" w:cs="Times New Roman"/>
          <w:sz w:val="24"/>
          <w:szCs w:val="30"/>
          <w:highlight w:val="none"/>
        </w:rPr>
        <w:t>报价单位：（</w:t>
      </w:r>
      <w:r>
        <w:rPr>
          <w:rFonts w:hint="eastAsia" w:ascii="Times New Roman" w:hAnsi="Times New Roman" w:eastAsia="宋体" w:cs="Times New Roman"/>
          <w:sz w:val="24"/>
          <w:szCs w:val="30"/>
          <w:highlight w:val="none"/>
          <w:lang w:val="en-US" w:eastAsia="zh-CN"/>
        </w:rPr>
        <w:t>盖章）</w:t>
      </w:r>
    </w:p>
    <w:sectPr>
      <w:pgSz w:w="16838" w:h="11906" w:orient="landscape"/>
      <w:pgMar w:top="1803" w:right="1440" w:bottom="1803" w:left="1440" w:header="851" w:footer="992" w:gutter="0"/>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8031F6"/>
    <w:multiLevelType w:val="singleLevel"/>
    <w:tmpl w:val="A28031F6"/>
    <w:lvl w:ilvl="0" w:tentative="0">
      <w:start w:val="1"/>
      <w:numFmt w:val="decimal"/>
      <w:lvlText w:val="%1."/>
      <w:lvlJc w:val="left"/>
      <w:pPr>
        <w:ind w:left="425" w:hanging="425"/>
      </w:pPr>
      <w:rPr>
        <w:rFonts w:hint="default"/>
      </w:rPr>
    </w:lvl>
  </w:abstractNum>
  <w:abstractNum w:abstractNumId="1">
    <w:nsid w:val="ADCBD301"/>
    <w:multiLevelType w:val="singleLevel"/>
    <w:tmpl w:val="ADCBD301"/>
    <w:lvl w:ilvl="0" w:tentative="0">
      <w:start w:val="1"/>
      <w:numFmt w:val="chineseCounting"/>
      <w:suff w:val="nothing"/>
      <w:lvlText w:val="%1、"/>
      <w:lvlJc w:val="left"/>
      <w:pPr>
        <w:ind w:left="0" w:firstLine="0"/>
      </w:pPr>
      <w:rPr>
        <w:rFonts w:hint="eastAsia"/>
      </w:rPr>
    </w:lvl>
  </w:abstractNum>
  <w:abstractNum w:abstractNumId="2">
    <w:nsid w:val="CA67513B"/>
    <w:multiLevelType w:val="singleLevel"/>
    <w:tmpl w:val="CA67513B"/>
    <w:lvl w:ilvl="0" w:tentative="0">
      <w:start w:val="1"/>
      <w:numFmt w:val="decimalEnclosedCircleChinese"/>
      <w:suff w:val="space"/>
      <w:lvlText w:val="%1"/>
      <w:lvlJc w:val="left"/>
      <w:pPr>
        <w:ind w:left="0" w:firstLine="480"/>
      </w:pPr>
      <w:rPr>
        <w:rFonts w:hint="eastAsia"/>
      </w:rPr>
    </w:lvl>
  </w:abstractNum>
  <w:abstractNum w:abstractNumId="3">
    <w:nsid w:val="CC3983A7"/>
    <w:multiLevelType w:val="singleLevel"/>
    <w:tmpl w:val="CC3983A7"/>
    <w:lvl w:ilvl="0" w:tentative="0">
      <w:start w:val="1"/>
      <w:numFmt w:val="decimal"/>
      <w:suff w:val="space"/>
      <w:lvlText w:val="%1."/>
      <w:lvlJc w:val="left"/>
      <w:pPr>
        <w:ind w:left="0" w:firstLine="0"/>
      </w:pPr>
      <w:rPr>
        <w:rFonts w:hint="default"/>
      </w:rPr>
    </w:lvl>
  </w:abstractNum>
  <w:abstractNum w:abstractNumId="4">
    <w:nsid w:val="CD589693"/>
    <w:multiLevelType w:val="multilevel"/>
    <w:tmpl w:val="CD589693"/>
    <w:lvl w:ilvl="0" w:tentative="0">
      <w:start w:val="1"/>
      <w:numFmt w:val="decimal"/>
      <w:suff w:val="space"/>
      <w:lvlText w:val="%1."/>
      <w:lvlJc w:val="left"/>
      <w:pPr>
        <w:ind w:left="0" w:firstLine="480"/>
      </w:pPr>
      <w:rPr>
        <w:rFonts w:hint="default"/>
      </w:rPr>
    </w:lvl>
    <w:lvl w:ilvl="1" w:tentative="0">
      <w:start w:val="1"/>
      <w:numFmt w:val="decimal"/>
      <w:suff w:val="space"/>
      <w:lvlText w:val="%1.%2"/>
      <w:lvlJc w:val="left"/>
      <w:pPr>
        <w:ind w:left="0" w:leftChars="0" w:firstLine="0" w:firstLineChars="0"/>
      </w:pPr>
      <w:rPr>
        <w:rFonts w:hint="default"/>
        <w:sz w:val="24"/>
        <w:szCs w:val="24"/>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5">
    <w:nsid w:val="DCFDEDC6"/>
    <w:multiLevelType w:val="singleLevel"/>
    <w:tmpl w:val="DCFDEDC6"/>
    <w:lvl w:ilvl="0" w:tentative="0">
      <w:start w:val="1"/>
      <w:numFmt w:val="decimal"/>
      <w:suff w:val="space"/>
      <w:lvlText w:val="%1."/>
      <w:lvlJc w:val="left"/>
      <w:pPr>
        <w:ind w:left="0" w:firstLine="480"/>
      </w:pPr>
      <w:rPr>
        <w:rFonts w:hint="default"/>
      </w:rPr>
    </w:lvl>
  </w:abstractNum>
  <w:abstractNum w:abstractNumId="6">
    <w:nsid w:val="160EC356"/>
    <w:multiLevelType w:val="singleLevel"/>
    <w:tmpl w:val="160EC356"/>
    <w:lvl w:ilvl="0" w:tentative="0">
      <w:start w:val="1"/>
      <w:numFmt w:val="decimal"/>
      <w:suff w:val="space"/>
      <w:lvlText w:val="%1."/>
      <w:lvlJc w:val="left"/>
      <w:pPr>
        <w:ind w:left="0" w:firstLine="480"/>
      </w:pPr>
      <w:rPr>
        <w:rFonts w:hint="default"/>
      </w:rPr>
    </w:lvl>
  </w:abstractNum>
  <w:abstractNum w:abstractNumId="7">
    <w:nsid w:val="26B66C0A"/>
    <w:multiLevelType w:val="singleLevel"/>
    <w:tmpl w:val="26B66C0A"/>
    <w:lvl w:ilvl="0" w:tentative="0">
      <w:start w:val="1"/>
      <w:numFmt w:val="decimal"/>
      <w:suff w:val="space"/>
      <w:lvlText w:val="%1."/>
      <w:lvlJc w:val="left"/>
      <w:pPr>
        <w:ind w:left="0" w:firstLine="480"/>
      </w:pPr>
      <w:rPr>
        <w:rFonts w:hint="default"/>
      </w:rPr>
    </w:lvl>
  </w:abstractNum>
  <w:abstractNum w:abstractNumId="8">
    <w:nsid w:val="30C0BB28"/>
    <w:multiLevelType w:val="singleLevel"/>
    <w:tmpl w:val="30C0BB28"/>
    <w:lvl w:ilvl="0" w:tentative="0">
      <w:start w:val="1"/>
      <w:numFmt w:val="decimalEnclosedCircleChinese"/>
      <w:suff w:val="space"/>
      <w:lvlText w:val="%1"/>
      <w:lvlJc w:val="left"/>
      <w:pPr>
        <w:ind w:left="0" w:firstLine="480"/>
      </w:pPr>
      <w:rPr>
        <w:rFonts w:hint="eastAsia"/>
      </w:rPr>
    </w:lvl>
  </w:abstractNum>
  <w:abstractNum w:abstractNumId="9">
    <w:nsid w:val="4B8CB720"/>
    <w:multiLevelType w:val="singleLevel"/>
    <w:tmpl w:val="4B8CB720"/>
    <w:lvl w:ilvl="0" w:tentative="0">
      <w:start w:val="1"/>
      <w:numFmt w:val="decimalEnclosedCircleChinese"/>
      <w:suff w:val="space"/>
      <w:lvlText w:val="%1"/>
      <w:lvlJc w:val="left"/>
      <w:pPr>
        <w:ind w:left="0" w:firstLine="480"/>
      </w:pPr>
      <w:rPr>
        <w:rFonts w:hint="eastAsia"/>
      </w:rPr>
    </w:lvl>
  </w:abstractNum>
  <w:abstractNum w:abstractNumId="10">
    <w:nsid w:val="68D3381C"/>
    <w:multiLevelType w:val="singleLevel"/>
    <w:tmpl w:val="68D3381C"/>
    <w:lvl w:ilvl="0" w:tentative="0">
      <w:start w:val="1"/>
      <w:numFmt w:val="decimalEnclosedCircleChinese"/>
      <w:suff w:val="space"/>
      <w:lvlText w:val="%1"/>
      <w:lvlJc w:val="left"/>
      <w:pPr>
        <w:ind w:left="0" w:firstLine="480"/>
      </w:pPr>
      <w:rPr>
        <w:rFonts w:hint="eastAsia"/>
      </w:rPr>
    </w:lvl>
  </w:abstractNum>
  <w:abstractNum w:abstractNumId="11">
    <w:nsid w:val="75F22E88"/>
    <w:multiLevelType w:val="singleLevel"/>
    <w:tmpl w:val="75F22E88"/>
    <w:lvl w:ilvl="0" w:tentative="0">
      <w:start w:val="1"/>
      <w:numFmt w:val="chineseCounting"/>
      <w:suff w:val="nothing"/>
      <w:lvlText w:val="%1、"/>
      <w:lvlJc w:val="left"/>
      <w:pPr>
        <w:ind w:left="0" w:firstLine="0"/>
      </w:pPr>
      <w:rPr>
        <w:rFonts w:hint="eastAsia"/>
      </w:rPr>
    </w:lvl>
  </w:abstractNum>
  <w:num w:numId="1">
    <w:abstractNumId w:val="11"/>
  </w:num>
  <w:num w:numId="2">
    <w:abstractNumId w:val="7"/>
  </w:num>
  <w:num w:numId="3">
    <w:abstractNumId w:val="4"/>
  </w:num>
  <w:num w:numId="4">
    <w:abstractNumId w:val="9"/>
  </w:num>
  <w:num w:numId="5">
    <w:abstractNumId w:val="3"/>
  </w:num>
  <w:num w:numId="6">
    <w:abstractNumId w:val="2"/>
  </w:num>
  <w:num w:numId="7">
    <w:abstractNumId w:val="8"/>
  </w:num>
  <w:num w:numId="8">
    <w:abstractNumId w:val="10"/>
  </w:num>
  <w:num w:numId="9">
    <w:abstractNumId w:val="0"/>
  </w:num>
  <w:num w:numId="10">
    <w:abstractNumId w:val="1"/>
  </w:num>
  <w:num w:numId="11">
    <w:abstractNumId w:val="5"/>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8148F5"/>
    <w:rsid w:val="00072C34"/>
    <w:rsid w:val="0022181C"/>
    <w:rsid w:val="00351550"/>
    <w:rsid w:val="005E0AA6"/>
    <w:rsid w:val="009F4FFA"/>
    <w:rsid w:val="01341807"/>
    <w:rsid w:val="01BD35AB"/>
    <w:rsid w:val="0261487E"/>
    <w:rsid w:val="028D364E"/>
    <w:rsid w:val="02DE5ECF"/>
    <w:rsid w:val="02E5725D"/>
    <w:rsid w:val="03942A31"/>
    <w:rsid w:val="03AD58A1"/>
    <w:rsid w:val="03CE5F43"/>
    <w:rsid w:val="03E017D2"/>
    <w:rsid w:val="03E62D75"/>
    <w:rsid w:val="03F5700C"/>
    <w:rsid w:val="04904FA7"/>
    <w:rsid w:val="049F168E"/>
    <w:rsid w:val="04BB57F9"/>
    <w:rsid w:val="04CC5A84"/>
    <w:rsid w:val="04D01847"/>
    <w:rsid w:val="05031C1C"/>
    <w:rsid w:val="052E47BF"/>
    <w:rsid w:val="054B711F"/>
    <w:rsid w:val="054F4E62"/>
    <w:rsid w:val="057C19CF"/>
    <w:rsid w:val="05A30D0A"/>
    <w:rsid w:val="05C07B0D"/>
    <w:rsid w:val="0607573C"/>
    <w:rsid w:val="0624009C"/>
    <w:rsid w:val="06695AAF"/>
    <w:rsid w:val="068E19BA"/>
    <w:rsid w:val="06985A4E"/>
    <w:rsid w:val="06B238FA"/>
    <w:rsid w:val="07666493"/>
    <w:rsid w:val="07907370"/>
    <w:rsid w:val="082D0DDC"/>
    <w:rsid w:val="08AE6343"/>
    <w:rsid w:val="08B576D2"/>
    <w:rsid w:val="08BA6A96"/>
    <w:rsid w:val="08DD4532"/>
    <w:rsid w:val="09111F90"/>
    <w:rsid w:val="09976DD7"/>
    <w:rsid w:val="099D619E"/>
    <w:rsid w:val="09A3577C"/>
    <w:rsid w:val="0A546A76"/>
    <w:rsid w:val="0A56459C"/>
    <w:rsid w:val="0AAA2B3A"/>
    <w:rsid w:val="0AB063A2"/>
    <w:rsid w:val="0AF261CB"/>
    <w:rsid w:val="0B04224A"/>
    <w:rsid w:val="0B0F05E6"/>
    <w:rsid w:val="0B301291"/>
    <w:rsid w:val="0B3C7C36"/>
    <w:rsid w:val="0BB43253"/>
    <w:rsid w:val="0BDF05C2"/>
    <w:rsid w:val="0BFC1173"/>
    <w:rsid w:val="0C0B13B7"/>
    <w:rsid w:val="0C3B7EEE"/>
    <w:rsid w:val="0C4D7C21"/>
    <w:rsid w:val="0CD914B5"/>
    <w:rsid w:val="0CE9794A"/>
    <w:rsid w:val="0D49663A"/>
    <w:rsid w:val="0D7C256C"/>
    <w:rsid w:val="0D7D0092"/>
    <w:rsid w:val="0D7F02AE"/>
    <w:rsid w:val="0E20609D"/>
    <w:rsid w:val="0E682AF0"/>
    <w:rsid w:val="0F411D39"/>
    <w:rsid w:val="0F977B31"/>
    <w:rsid w:val="0F9F69E6"/>
    <w:rsid w:val="0FB471A8"/>
    <w:rsid w:val="108005C5"/>
    <w:rsid w:val="10D64689"/>
    <w:rsid w:val="11297E47"/>
    <w:rsid w:val="113E7392"/>
    <w:rsid w:val="11C20769"/>
    <w:rsid w:val="125515DD"/>
    <w:rsid w:val="12C7072D"/>
    <w:rsid w:val="12EF1A32"/>
    <w:rsid w:val="13001549"/>
    <w:rsid w:val="137D2B9A"/>
    <w:rsid w:val="13F61FEF"/>
    <w:rsid w:val="146A5814"/>
    <w:rsid w:val="14E153AA"/>
    <w:rsid w:val="153F4C73"/>
    <w:rsid w:val="15512590"/>
    <w:rsid w:val="155700D2"/>
    <w:rsid w:val="156B0BFC"/>
    <w:rsid w:val="15AC740B"/>
    <w:rsid w:val="15CA4090"/>
    <w:rsid w:val="15D32F45"/>
    <w:rsid w:val="15D64EC1"/>
    <w:rsid w:val="15F07F9B"/>
    <w:rsid w:val="16302179"/>
    <w:rsid w:val="16B8213B"/>
    <w:rsid w:val="16EF3DAF"/>
    <w:rsid w:val="170F61FF"/>
    <w:rsid w:val="172B1C15"/>
    <w:rsid w:val="174B2FAF"/>
    <w:rsid w:val="17B648CC"/>
    <w:rsid w:val="17E4768B"/>
    <w:rsid w:val="18616F2E"/>
    <w:rsid w:val="187A1D9E"/>
    <w:rsid w:val="18A254E0"/>
    <w:rsid w:val="1954439D"/>
    <w:rsid w:val="19662322"/>
    <w:rsid w:val="196640D0"/>
    <w:rsid w:val="19DC4392"/>
    <w:rsid w:val="1A606D71"/>
    <w:rsid w:val="1A8B0292"/>
    <w:rsid w:val="1AA43102"/>
    <w:rsid w:val="1B157B5C"/>
    <w:rsid w:val="1B226A2F"/>
    <w:rsid w:val="1B2304CB"/>
    <w:rsid w:val="1B981220"/>
    <w:rsid w:val="1BA40094"/>
    <w:rsid w:val="1BA62EAA"/>
    <w:rsid w:val="1BAB04C0"/>
    <w:rsid w:val="1BB750B7"/>
    <w:rsid w:val="1BE7774A"/>
    <w:rsid w:val="1C057BD0"/>
    <w:rsid w:val="1C2A3ADB"/>
    <w:rsid w:val="1C760ACE"/>
    <w:rsid w:val="1C922125"/>
    <w:rsid w:val="1CB33AD0"/>
    <w:rsid w:val="1CE41EDC"/>
    <w:rsid w:val="1D1C3424"/>
    <w:rsid w:val="1D6848BB"/>
    <w:rsid w:val="1E067C30"/>
    <w:rsid w:val="1E087E4C"/>
    <w:rsid w:val="1E197963"/>
    <w:rsid w:val="1E2F7187"/>
    <w:rsid w:val="1E391DB3"/>
    <w:rsid w:val="1F2B2044"/>
    <w:rsid w:val="1F52137F"/>
    <w:rsid w:val="1F78690B"/>
    <w:rsid w:val="1F8D23B7"/>
    <w:rsid w:val="1FC87893"/>
    <w:rsid w:val="1FD75D28"/>
    <w:rsid w:val="1FEF3071"/>
    <w:rsid w:val="200D1749"/>
    <w:rsid w:val="200D34F7"/>
    <w:rsid w:val="20AC0F62"/>
    <w:rsid w:val="20C75D9C"/>
    <w:rsid w:val="20D81D57"/>
    <w:rsid w:val="219E4D4F"/>
    <w:rsid w:val="21AD6D40"/>
    <w:rsid w:val="21D97B35"/>
    <w:rsid w:val="220A4192"/>
    <w:rsid w:val="22305CDC"/>
    <w:rsid w:val="22680EB9"/>
    <w:rsid w:val="228850B7"/>
    <w:rsid w:val="22A16179"/>
    <w:rsid w:val="235F406A"/>
    <w:rsid w:val="237D2742"/>
    <w:rsid w:val="243C25FD"/>
    <w:rsid w:val="249D704F"/>
    <w:rsid w:val="24BB48A8"/>
    <w:rsid w:val="24C22B02"/>
    <w:rsid w:val="24CE0F21"/>
    <w:rsid w:val="25AD4B37"/>
    <w:rsid w:val="25E116AE"/>
    <w:rsid w:val="25F25669"/>
    <w:rsid w:val="25FA62CC"/>
    <w:rsid w:val="2684130D"/>
    <w:rsid w:val="26A76454"/>
    <w:rsid w:val="26BC17D3"/>
    <w:rsid w:val="26C37006"/>
    <w:rsid w:val="26E054C2"/>
    <w:rsid w:val="27391076"/>
    <w:rsid w:val="276A7481"/>
    <w:rsid w:val="27787DF0"/>
    <w:rsid w:val="27826579"/>
    <w:rsid w:val="27910EB2"/>
    <w:rsid w:val="27912C60"/>
    <w:rsid w:val="27E5541C"/>
    <w:rsid w:val="28353194"/>
    <w:rsid w:val="283C0E1E"/>
    <w:rsid w:val="284952E9"/>
    <w:rsid w:val="28577A06"/>
    <w:rsid w:val="28702875"/>
    <w:rsid w:val="28BE7A85"/>
    <w:rsid w:val="28C826B1"/>
    <w:rsid w:val="28D20310"/>
    <w:rsid w:val="28E90D64"/>
    <w:rsid w:val="291476A5"/>
    <w:rsid w:val="29325D7D"/>
    <w:rsid w:val="293E30BA"/>
    <w:rsid w:val="29826D04"/>
    <w:rsid w:val="299E5C46"/>
    <w:rsid w:val="2A0E0598"/>
    <w:rsid w:val="2A50113D"/>
    <w:rsid w:val="2A88659C"/>
    <w:rsid w:val="2C063C1D"/>
    <w:rsid w:val="2C210A56"/>
    <w:rsid w:val="2CD86C3B"/>
    <w:rsid w:val="2CF91A3F"/>
    <w:rsid w:val="2D12039F"/>
    <w:rsid w:val="2D1C121E"/>
    <w:rsid w:val="2D1C4D7A"/>
    <w:rsid w:val="2D5A2500"/>
    <w:rsid w:val="2DB12B6C"/>
    <w:rsid w:val="2DB80F46"/>
    <w:rsid w:val="2E2A34C6"/>
    <w:rsid w:val="2E3C1B78"/>
    <w:rsid w:val="2E5A0250"/>
    <w:rsid w:val="2E5C5D76"/>
    <w:rsid w:val="2E620EB2"/>
    <w:rsid w:val="2EAF2A1C"/>
    <w:rsid w:val="2EB37960"/>
    <w:rsid w:val="2EB84F76"/>
    <w:rsid w:val="2EFA10EB"/>
    <w:rsid w:val="2F65399A"/>
    <w:rsid w:val="2F6A022C"/>
    <w:rsid w:val="2F6F3887"/>
    <w:rsid w:val="2FCC2A87"/>
    <w:rsid w:val="2FCC6F2B"/>
    <w:rsid w:val="30161F54"/>
    <w:rsid w:val="30EB33E1"/>
    <w:rsid w:val="30ED2E37"/>
    <w:rsid w:val="310D15A9"/>
    <w:rsid w:val="310F6C24"/>
    <w:rsid w:val="312E32CE"/>
    <w:rsid w:val="317038E6"/>
    <w:rsid w:val="317C672F"/>
    <w:rsid w:val="31857392"/>
    <w:rsid w:val="31DD71CE"/>
    <w:rsid w:val="320C360F"/>
    <w:rsid w:val="32537490"/>
    <w:rsid w:val="32987598"/>
    <w:rsid w:val="32E242A8"/>
    <w:rsid w:val="33024A12"/>
    <w:rsid w:val="33092244"/>
    <w:rsid w:val="33E10ACB"/>
    <w:rsid w:val="33FE3469"/>
    <w:rsid w:val="342B5F2F"/>
    <w:rsid w:val="34E16FD5"/>
    <w:rsid w:val="34F77462"/>
    <w:rsid w:val="350F7846"/>
    <w:rsid w:val="35472BB0"/>
    <w:rsid w:val="35977693"/>
    <w:rsid w:val="35FE5313"/>
    <w:rsid w:val="361502FC"/>
    <w:rsid w:val="36557DE0"/>
    <w:rsid w:val="366652B8"/>
    <w:rsid w:val="368F480F"/>
    <w:rsid w:val="36F5685E"/>
    <w:rsid w:val="37585548"/>
    <w:rsid w:val="37D018E8"/>
    <w:rsid w:val="37F64539"/>
    <w:rsid w:val="380A05F1"/>
    <w:rsid w:val="385C6972"/>
    <w:rsid w:val="385F2910"/>
    <w:rsid w:val="38657F1D"/>
    <w:rsid w:val="38F65019"/>
    <w:rsid w:val="39477622"/>
    <w:rsid w:val="39777F08"/>
    <w:rsid w:val="39B5458C"/>
    <w:rsid w:val="3A2D6818"/>
    <w:rsid w:val="3A90478F"/>
    <w:rsid w:val="3AE07D2F"/>
    <w:rsid w:val="3AF9494C"/>
    <w:rsid w:val="3B365BA1"/>
    <w:rsid w:val="3B381919"/>
    <w:rsid w:val="3B4E7D96"/>
    <w:rsid w:val="3C090BBF"/>
    <w:rsid w:val="3C577B7C"/>
    <w:rsid w:val="3CA32DC2"/>
    <w:rsid w:val="3CA63EDC"/>
    <w:rsid w:val="3D65451B"/>
    <w:rsid w:val="3DA908AC"/>
    <w:rsid w:val="3DCC1CEF"/>
    <w:rsid w:val="3DE25B6C"/>
    <w:rsid w:val="3E2D328B"/>
    <w:rsid w:val="3E4D7489"/>
    <w:rsid w:val="3EB2553E"/>
    <w:rsid w:val="3EBC73E8"/>
    <w:rsid w:val="3EC94FA6"/>
    <w:rsid w:val="3EEF6792"/>
    <w:rsid w:val="3F037A8F"/>
    <w:rsid w:val="3F9966FE"/>
    <w:rsid w:val="3FBE424C"/>
    <w:rsid w:val="3FDE0859"/>
    <w:rsid w:val="401D2E8B"/>
    <w:rsid w:val="402B1A4C"/>
    <w:rsid w:val="407A652F"/>
    <w:rsid w:val="410F0A26"/>
    <w:rsid w:val="41110C42"/>
    <w:rsid w:val="412C5A7C"/>
    <w:rsid w:val="41444309"/>
    <w:rsid w:val="419B5E1D"/>
    <w:rsid w:val="41C31810"/>
    <w:rsid w:val="41EE2D31"/>
    <w:rsid w:val="42244224"/>
    <w:rsid w:val="426A513B"/>
    <w:rsid w:val="42C615B8"/>
    <w:rsid w:val="42E83C24"/>
    <w:rsid w:val="42F26851"/>
    <w:rsid w:val="42F97BDF"/>
    <w:rsid w:val="43236A0A"/>
    <w:rsid w:val="4387343D"/>
    <w:rsid w:val="43E2516D"/>
    <w:rsid w:val="446B0669"/>
    <w:rsid w:val="451E56DB"/>
    <w:rsid w:val="45790B64"/>
    <w:rsid w:val="45C467DA"/>
    <w:rsid w:val="466E4440"/>
    <w:rsid w:val="46A2058E"/>
    <w:rsid w:val="46F801AE"/>
    <w:rsid w:val="471274C2"/>
    <w:rsid w:val="4713018E"/>
    <w:rsid w:val="47A868D9"/>
    <w:rsid w:val="47C841F6"/>
    <w:rsid w:val="47CD33E9"/>
    <w:rsid w:val="480520F9"/>
    <w:rsid w:val="480A63EB"/>
    <w:rsid w:val="489057CE"/>
    <w:rsid w:val="48D81B3F"/>
    <w:rsid w:val="48D82045"/>
    <w:rsid w:val="490966A2"/>
    <w:rsid w:val="493A2D00"/>
    <w:rsid w:val="4970227E"/>
    <w:rsid w:val="49793828"/>
    <w:rsid w:val="49A87C69"/>
    <w:rsid w:val="49C820BA"/>
    <w:rsid w:val="49CB1BAA"/>
    <w:rsid w:val="4A2D016F"/>
    <w:rsid w:val="4A8C758B"/>
    <w:rsid w:val="4ACA3C0F"/>
    <w:rsid w:val="4B375749"/>
    <w:rsid w:val="4B4E423F"/>
    <w:rsid w:val="4B7C13AE"/>
    <w:rsid w:val="4B8A1D1C"/>
    <w:rsid w:val="4C0D0DB0"/>
    <w:rsid w:val="4C147838"/>
    <w:rsid w:val="4C1F06B5"/>
    <w:rsid w:val="4C21446D"/>
    <w:rsid w:val="4C663702"/>
    <w:rsid w:val="4CE27936"/>
    <w:rsid w:val="4D453A21"/>
    <w:rsid w:val="4D673998"/>
    <w:rsid w:val="4DAE5A6A"/>
    <w:rsid w:val="4E50267E"/>
    <w:rsid w:val="4E6F51FA"/>
    <w:rsid w:val="4E8D38D2"/>
    <w:rsid w:val="4E8D742E"/>
    <w:rsid w:val="4EB26E94"/>
    <w:rsid w:val="4EC15329"/>
    <w:rsid w:val="4ECA0682"/>
    <w:rsid w:val="4ECC43FA"/>
    <w:rsid w:val="4F293C72"/>
    <w:rsid w:val="4F511E31"/>
    <w:rsid w:val="4FA42C81"/>
    <w:rsid w:val="4FB21842"/>
    <w:rsid w:val="4FD712A8"/>
    <w:rsid w:val="4FE13ED5"/>
    <w:rsid w:val="500E7377"/>
    <w:rsid w:val="502D462E"/>
    <w:rsid w:val="508B5BEF"/>
    <w:rsid w:val="50B82E88"/>
    <w:rsid w:val="50E377D9"/>
    <w:rsid w:val="50EC0D83"/>
    <w:rsid w:val="50F639B0"/>
    <w:rsid w:val="515801C7"/>
    <w:rsid w:val="515E4352"/>
    <w:rsid w:val="51861CB7"/>
    <w:rsid w:val="51D535C6"/>
    <w:rsid w:val="522D172B"/>
    <w:rsid w:val="5244074B"/>
    <w:rsid w:val="525A5AB2"/>
    <w:rsid w:val="529C68B6"/>
    <w:rsid w:val="52E006DA"/>
    <w:rsid w:val="531F32B6"/>
    <w:rsid w:val="532F6D06"/>
    <w:rsid w:val="533D7674"/>
    <w:rsid w:val="53E421E6"/>
    <w:rsid w:val="54A656F4"/>
    <w:rsid w:val="54C52F6D"/>
    <w:rsid w:val="54CB6F02"/>
    <w:rsid w:val="54D25F71"/>
    <w:rsid w:val="54DC23C8"/>
    <w:rsid w:val="54FC530D"/>
    <w:rsid w:val="55807CEC"/>
    <w:rsid w:val="55AA6B17"/>
    <w:rsid w:val="55CF657E"/>
    <w:rsid w:val="56014DF2"/>
    <w:rsid w:val="5640122A"/>
    <w:rsid w:val="564023A4"/>
    <w:rsid w:val="565D1FD4"/>
    <w:rsid w:val="569F0646"/>
    <w:rsid w:val="56C41E5B"/>
    <w:rsid w:val="56F03D6C"/>
    <w:rsid w:val="56FE711B"/>
    <w:rsid w:val="571C57F3"/>
    <w:rsid w:val="572C012C"/>
    <w:rsid w:val="574134AB"/>
    <w:rsid w:val="57783371"/>
    <w:rsid w:val="58291826"/>
    <w:rsid w:val="58D36385"/>
    <w:rsid w:val="592032E1"/>
    <w:rsid w:val="59B91A1F"/>
    <w:rsid w:val="5A1B6236"/>
    <w:rsid w:val="5A511C57"/>
    <w:rsid w:val="5A7F21B4"/>
    <w:rsid w:val="5ADA7E9F"/>
    <w:rsid w:val="5AE747D8"/>
    <w:rsid w:val="5AEE74A6"/>
    <w:rsid w:val="5AF54CD9"/>
    <w:rsid w:val="5BC76675"/>
    <w:rsid w:val="5C0874F3"/>
    <w:rsid w:val="5C0E6052"/>
    <w:rsid w:val="5C1E1C0C"/>
    <w:rsid w:val="5C2C472A"/>
    <w:rsid w:val="5C427AAA"/>
    <w:rsid w:val="5C6E4D42"/>
    <w:rsid w:val="5C7B2FBB"/>
    <w:rsid w:val="5C8400C2"/>
    <w:rsid w:val="5CA12A44"/>
    <w:rsid w:val="5CD64696"/>
    <w:rsid w:val="5D1D4073"/>
    <w:rsid w:val="5DBF512A"/>
    <w:rsid w:val="5DEC21C1"/>
    <w:rsid w:val="5ECD7C67"/>
    <w:rsid w:val="5EEE216B"/>
    <w:rsid w:val="5F08322C"/>
    <w:rsid w:val="5F50072F"/>
    <w:rsid w:val="5F6E26D0"/>
    <w:rsid w:val="5F750196"/>
    <w:rsid w:val="5F9E149B"/>
    <w:rsid w:val="5FAB3BB8"/>
    <w:rsid w:val="600F4147"/>
    <w:rsid w:val="60634492"/>
    <w:rsid w:val="60D3786A"/>
    <w:rsid w:val="60E2185B"/>
    <w:rsid w:val="60F977C1"/>
    <w:rsid w:val="61613DE8"/>
    <w:rsid w:val="61BD7BD2"/>
    <w:rsid w:val="61C55544"/>
    <w:rsid w:val="62015D11"/>
    <w:rsid w:val="622C2343"/>
    <w:rsid w:val="623779B1"/>
    <w:rsid w:val="626D15F8"/>
    <w:rsid w:val="62832BCA"/>
    <w:rsid w:val="62E37E1F"/>
    <w:rsid w:val="6312414F"/>
    <w:rsid w:val="63526744"/>
    <w:rsid w:val="636A4F2C"/>
    <w:rsid w:val="636C365E"/>
    <w:rsid w:val="640146EE"/>
    <w:rsid w:val="6410048D"/>
    <w:rsid w:val="64265F03"/>
    <w:rsid w:val="64281C7B"/>
    <w:rsid w:val="64852BFC"/>
    <w:rsid w:val="64923598"/>
    <w:rsid w:val="652E506F"/>
    <w:rsid w:val="6531577F"/>
    <w:rsid w:val="65D26342"/>
    <w:rsid w:val="65D73958"/>
    <w:rsid w:val="65EA6B6B"/>
    <w:rsid w:val="660D4C01"/>
    <w:rsid w:val="667E2026"/>
    <w:rsid w:val="66F26570"/>
    <w:rsid w:val="673426E5"/>
    <w:rsid w:val="67650AF0"/>
    <w:rsid w:val="67851192"/>
    <w:rsid w:val="67FA56DC"/>
    <w:rsid w:val="6841330B"/>
    <w:rsid w:val="68C63810"/>
    <w:rsid w:val="692C5D69"/>
    <w:rsid w:val="69362744"/>
    <w:rsid w:val="69390410"/>
    <w:rsid w:val="696C43B8"/>
    <w:rsid w:val="69787200"/>
    <w:rsid w:val="69C04704"/>
    <w:rsid w:val="69F04FE9"/>
    <w:rsid w:val="6A026ACA"/>
    <w:rsid w:val="6A1D1B56"/>
    <w:rsid w:val="6AA06A0F"/>
    <w:rsid w:val="6AF97ECD"/>
    <w:rsid w:val="6B1116BB"/>
    <w:rsid w:val="6B217424"/>
    <w:rsid w:val="6B543355"/>
    <w:rsid w:val="6B621F16"/>
    <w:rsid w:val="6B721A2E"/>
    <w:rsid w:val="6B7632CC"/>
    <w:rsid w:val="6BBB0A9C"/>
    <w:rsid w:val="6BD80EE5"/>
    <w:rsid w:val="6C152874"/>
    <w:rsid w:val="6C3C4515"/>
    <w:rsid w:val="6C580C23"/>
    <w:rsid w:val="6C613F7C"/>
    <w:rsid w:val="6CF3094C"/>
    <w:rsid w:val="6D4D4500"/>
    <w:rsid w:val="6D7E46BA"/>
    <w:rsid w:val="6DB85E1E"/>
    <w:rsid w:val="6DDA2238"/>
    <w:rsid w:val="6DDB29E3"/>
    <w:rsid w:val="6E492F1A"/>
    <w:rsid w:val="6E737F96"/>
    <w:rsid w:val="6E7855AD"/>
    <w:rsid w:val="6EE40E94"/>
    <w:rsid w:val="6F4B0F13"/>
    <w:rsid w:val="6F7B2807"/>
    <w:rsid w:val="6F810491"/>
    <w:rsid w:val="6FAA5C3A"/>
    <w:rsid w:val="6FAA79E8"/>
    <w:rsid w:val="6FEE5677"/>
    <w:rsid w:val="7056191E"/>
    <w:rsid w:val="706A5599"/>
    <w:rsid w:val="70C67288"/>
    <w:rsid w:val="70EC5DDE"/>
    <w:rsid w:val="70ED4030"/>
    <w:rsid w:val="71137D38"/>
    <w:rsid w:val="717A2045"/>
    <w:rsid w:val="71AD7C63"/>
    <w:rsid w:val="71CC633B"/>
    <w:rsid w:val="721455EC"/>
    <w:rsid w:val="722515A8"/>
    <w:rsid w:val="72561A95"/>
    <w:rsid w:val="729D2012"/>
    <w:rsid w:val="729F135A"/>
    <w:rsid w:val="72F0059F"/>
    <w:rsid w:val="72F83160"/>
    <w:rsid w:val="72FC307A"/>
    <w:rsid w:val="72FD0776"/>
    <w:rsid w:val="73012015"/>
    <w:rsid w:val="73611683"/>
    <w:rsid w:val="73626993"/>
    <w:rsid w:val="738148F5"/>
    <w:rsid w:val="739A1C91"/>
    <w:rsid w:val="73B01345"/>
    <w:rsid w:val="73CF3490"/>
    <w:rsid w:val="73F13E37"/>
    <w:rsid w:val="7439758C"/>
    <w:rsid w:val="74480A84"/>
    <w:rsid w:val="74AB66DC"/>
    <w:rsid w:val="74B11819"/>
    <w:rsid w:val="74B310ED"/>
    <w:rsid w:val="74C27582"/>
    <w:rsid w:val="74D67B95"/>
    <w:rsid w:val="74E5550E"/>
    <w:rsid w:val="756D573F"/>
    <w:rsid w:val="7601057E"/>
    <w:rsid w:val="764B35A7"/>
    <w:rsid w:val="76A96C4B"/>
    <w:rsid w:val="771340C5"/>
    <w:rsid w:val="77420E4E"/>
    <w:rsid w:val="774424D0"/>
    <w:rsid w:val="77577B1B"/>
    <w:rsid w:val="77ED2B68"/>
    <w:rsid w:val="786848E4"/>
    <w:rsid w:val="78972AD3"/>
    <w:rsid w:val="78AF300A"/>
    <w:rsid w:val="79416DF5"/>
    <w:rsid w:val="79C67B14"/>
    <w:rsid w:val="79D55FA9"/>
    <w:rsid w:val="79EE0E19"/>
    <w:rsid w:val="7A0128FA"/>
    <w:rsid w:val="7A122D59"/>
    <w:rsid w:val="7A3F5C2C"/>
    <w:rsid w:val="7A4A2EB2"/>
    <w:rsid w:val="7A5549F4"/>
    <w:rsid w:val="7A721A4A"/>
    <w:rsid w:val="7A7632E8"/>
    <w:rsid w:val="7A94376E"/>
    <w:rsid w:val="7B474C85"/>
    <w:rsid w:val="7B5573A2"/>
    <w:rsid w:val="7B7D06A6"/>
    <w:rsid w:val="7B7E488D"/>
    <w:rsid w:val="7BC260B9"/>
    <w:rsid w:val="7BE97AEA"/>
    <w:rsid w:val="7BF81ADB"/>
    <w:rsid w:val="7C1F46EF"/>
    <w:rsid w:val="7C32323F"/>
    <w:rsid w:val="7C5F783C"/>
    <w:rsid w:val="7C6D071B"/>
    <w:rsid w:val="7CE81B50"/>
    <w:rsid w:val="7DA97531"/>
    <w:rsid w:val="7DAB36AB"/>
    <w:rsid w:val="7DC12ACC"/>
    <w:rsid w:val="7DF764EE"/>
    <w:rsid w:val="7E266DD3"/>
    <w:rsid w:val="7E4454AB"/>
    <w:rsid w:val="7E5E47BF"/>
    <w:rsid w:val="7E70004F"/>
    <w:rsid w:val="7E7C69F3"/>
    <w:rsid w:val="7E9E2E0E"/>
    <w:rsid w:val="7EB30231"/>
    <w:rsid w:val="7F545789"/>
    <w:rsid w:val="7FA36202"/>
    <w:rsid w:val="7FA75CF2"/>
    <w:rsid w:val="7FEC5D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next w:val="1"/>
    <w:qFormat/>
    <w:uiPriority w:val="0"/>
    <w:pPr>
      <w:keepNext w:val="0"/>
      <w:keepLines w:val="0"/>
      <w:widowControl w:val="0"/>
      <w:spacing w:before="240" w:beforeLines="0" w:after="120" w:line="360" w:lineRule="auto"/>
      <w:jc w:val="left"/>
      <w:outlineLvl w:val="0"/>
    </w:pPr>
    <w:rPr>
      <w:rFonts w:ascii="宋体" w:hAnsi="宋体" w:eastAsia="宋体" w:cs="宋体"/>
      <w:b/>
      <w:bCs/>
      <w:kern w:val="44"/>
      <w:sz w:val="24"/>
      <w:szCs w:val="30"/>
    </w:rPr>
  </w:style>
  <w:style w:type="paragraph" w:styleId="4">
    <w:name w:val="heading 2"/>
    <w:next w:val="1"/>
    <w:unhideWhenUsed/>
    <w:qFormat/>
    <w:uiPriority w:val="0"/>
    <w:pPr>
      <w:keepNext w:val="0"/>
      <w:keepLines w:val="0"/>
      <w:widowControl w:val="0"/>
      <w:spacing w:before="120" w:beforeAutospacing="0" w:after="120" w:afterAutospacing="0" w:line="360" w:lineRule="auto"/>
      <w:jc w:val="left"/>
      <w:outlineLvl w:val="1"/>
    </w:pPr>
    <w:rPr>
      <w:rFonts w:ascii="Times New Roman" w:hAnsi="Times New Roman" w:eastAsia="宋体" w:cs="Times New Roman"/>
      <w:b/>
      <w:sz w:val="24"/>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章标题"/>
    <w:basedOn w:val="1"/>
    <w:next w:val="1"/>
    <w:qFormat/>
    <w:uiPriority w:val="0"/>
    <w:pPr>
      <w:widowControl/>
      <w:spacing w:line="323" w:lineRule="atLeast"/>
      <w:ind w:right="-120"/>
      <w:jc w:val="center"/>
      <w:textAlignment w:val="baseline"/>
    </w:pPr>
    <w:rPr>
      <w:color w:val="FF0000"/>
      <w:kern w:val="0"/>
      <w:sz w:val="18"/>
      <w:szCs w:val="18"/>
    </w:rPr>
  </w:style>
  <w:style w:type="paragraph" w:styleId="5">
    <w:name w:val="Body Text"/>
    <w:basedOn w:val="1"/>
    <w:next w:val="1"/>
    <w:qFormat/>
    <w:uiPriority w:val="0"/>
    <w:pPr>
      <w:widowControl w:val="0"/>
      <w:spacing w:after="120" w:afterLines="0" w:afterAutospacing="0" w:line="300" w:lineRule="auto"/>
      <w:ind w:firstLine="420" w:firstLineChars="200"/>
    </w:pPr>
    <w:rPr>
      <w:rFonts w:ascii="Times New Roman" w:hAnsi="Times New Roman" w:eastAsia="宋体" w:cs="Times New Roman"/>
      <w:sz w:val="24"/>
    </w:rPr>
  </w:style>
  <w:style w:type="paragraph" w:styleId="6">
    <w:name w:val="Body Text Indent"/>
    <w:basedOn w:val="1"/>
    <w:qFormat/>
    <w:uiPriority w:val="0"/>
    <w:pPr>
      <w:spacing w:after="0"/>
      <w:ind w:firstLine="480" w:firstLineChars="178"/>
    </w:pPr>
    <w:rPr>
      <w:rFonts w:ascii="Times New Roman" w:hAnsi="Times New Roman"/>
      <w:sz w:val="28"/>
      <w:szCs w:val="28"/>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8">
    <w:name w:val="Title"/>
    <w:qFormat/>
    <w:uiPriority w:val="0"/>
    <w:pPr>
      <w:spacing w:beforeAutospacing="0" w:afterAutospacing="0" w:line="360" w:lineRule="auto"/>
      <w:jc w:val="center"/>
      <w:outlineLvl w:val="9"/>
    </w:pPr>
    <w:rPr>
      <w:rFonts w:ascii="Times New Roman" w:hAnsi="Times New Roman" w:eastAsia="黑体" w:cs="Times New Roman"/>
      <w:sz w:val="44"/>
    </w:rPr>
  </w:style>
  <w:style w:type="paragraph" w:styleId="9">
    <w:name w:val="Body Text First Indent 2"/>
    <w:basedOn w:val="6"/>
    <w:qFormat/>
    <w:uiPriority w:val="0"/>
    <w:pPr>
      <w:ind w:firstLine="210"/>
    </w:pPr>
    <w:rPr>
      <w:sz w:val="21"/>
      <w:szCs w:val="20"/>
    </w:rPr>
  </w:style>
  <w:style w:type="paragraph" w:customStyle="1" w:styleId="12">
    <w:name w:val="附录标题"/>
    <w:next w:val="1"/>
    <w:qFormat/>
    <w:uiPriority w:val="0"/>
    <w:pPr>
      <w:keepNext w:val="0"/>
      <w:keepLines w:val="0"/>
      <w:widowControl w:val="0"/>
      <w:spacing w:before="240" w:after="120" w:line="360" w:lineRule="auto"/>
      <w:jc w:val="left"/>
      <w:outlineLvl w:val="0"/>
    </w:pPr>
    <w:rPr>
      <w:rFonts w:ascii="Times New Roman" w:hAnsi="Times New Roman" w:eastAsia="宋体" w:cs="Times New Roman"/>
      <w:b/>
      <w:sz w:val="24"/>
    </w:rPr>
  </w:style>
  <w:style w:type="paragraph" w:customStyle="1" w:styleId="13">
    <w:name w:val="内嵌文档标题2"/>
    <w:next w:val="1"/>
    <w:qFormat/>
    <w:uiPriority w:val="0"/>
    <w:pPr>
      <w:widowControl w:val="0"/>
      <w:shd w:val="clear" w:color="auto" w:fill="FFFFFF"/>
      <w:spacing w:after="120" w:line="300" w:lineRule="auto"/>
      <w:jc w:val="center"/>
      <w:outlineLvl w:val="0"/>
    </w:pPr>
    <w:rPr>
      <w:rFonts w:ascii="宋体" w:hAnsi="宋体" w:eastAsia="宋体" w:cs="宋体"/>
      <w:b/>
      <w:bCs/>
      <w:kern w:val="0"/>
      <w:sz w:val="24"/>
      <w:szCs w:val="30"/>
    </w:rPr>
  </w:style>
  <w:style w:type="character" w:customStyle="1" w:styleId="14">
    <w:name w:val="样式 标题 3sect1.2.3sect1.2.31sect1.2.32sect1.2.311sect1.2.33s...1 Char"/>
    <w:basedOn w:val="11"/>
    <w:qFormat/>
    <w:uiPriority w:val="0"/>
    <w:rPr>
      <w:rFonts w:ascii="宋体" w:hAnsi="宋体" w:eastAsia="宋体"/>
      <w:color w:val="000000"/>
      <w:kern w:val="2"/>
      <w:sz w:val="32"/>
      <w:szCs w:val="32"/>
      <w:lang w:val="en-US" w:eastAsia="zh-CN" w:bidi="ar-SA"/>
    </w:rPr>
  </w:style>
  <w:style w:type="paragraph" w:customStyle="1" w:styleId="15">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6">
    <w:name w:val="内嵌文档标题1"/>
    <w:next w:val="1"/>
    <w:qFormat/>
    <w:uiPriority w:val="0"/>
    <w:pPr>
      <w:widowControl w:val="0"/>
      <w:spacing w:after="120" w:line="300" w:lineRule="auto"/>
      <w:jc w:val="center"/>
      <w:outlineLvl w:val="0"/>
    </w:pPr>
    <w:rPr>
      <w:rFonts w:ascii="Times New Roman" w:hAnsi="Times New Roman" w:eastAsia="宋体" w:cs="Times New Roman"/>
      <w:b/>
      <w:kern w:val="2"/>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4151</Words>
  <Characters>4310</Characters>
  <Lines>0</Lines>
  <Paragraphs>0</Paragraphs>
  <TotalTime>6</TotalTime>
  <ScaleCrop>false</ScaleCrop>
  <LinksUpToDate>false</LinksUpToDate>
  <CharactersWithSpaces>4446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2025-02-17T02:19:00Z</dcterms:created>
  <dc:creator>一位不愿意透露姓名的唐先生</dc:creator>
  <cp:lastModifiedBy>卿倪</cp:lastModifiedBy>
  <cp:lastPrinted>2025-06-05T08:39:24Z</cp:lastPrinted>
  <dcterms:modified xsi:type="dcterms:W3CDTF">2025-06-05T08:39:31Z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5905F3FA9BFD4638A2B79E3B34B03475_13</vt:lpwstr>
  </property>
  <property fmtid="{D5CDD505-2E9C-101B-9397-08002B2CF9AE}" pid="4" name="KSOTemplateDocerSaveRecord">
    <vt:lpwstr>eyJoZGlkIjoiZWEzN2UwMjlkN2NkZTc3N2UzODNmNTQ2ZTA3YmYwYTUiLCJ1c2VySWQiOiI3MDQxNDEwNzMifQ==</vt:lpwstr>
  </property>
</Properties>
</file>