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8E2D">
      <w:pPr>
        <w:pStyle w:val="7"/>
        <w:keepNext w:val="0"/>
        <w:keepLines w:val="0"/>
        <w:pageBreakBefore w:val="0"/>
        <w:widowControl/>
        <w:kinsoku/>
        <w:overflowPunct/>
        <w:topLinePunct w:val="0"/>
        <w:bidi w:val="0"/>
        <w:spacing w:line="240" w:lineRule="auto"/>
        <w:ind w:firstLine="0" w:firstLineChars="0"/>
        <w:jc w:val="center"/>
        <w:textAlignment w:val="auto"/>
        <w:rPr>
          <w:rFonts w:hint="default"/>
          <w:highlight w:val="none"/>
          <w:lang w:val="en-US" w:eastAsia="zh-CN"/>
        </w:rPr>
      </w:pPr>
      <w:r>
        <w:rPr>
          <w:rFonts w:hint="eastAsia"/>
          <w:highlight w:val="none"/>
          <w:lang w:val="en-US" w:eastAsia="zh-CN"/>
        </w:rPr>
        <w:t>遂宁市安居区生活垃圾分类和处理设施提标改造项目(一期)劳务工程（2标段）</w:t>
      </w:r>
    </w:p>
    <w:p w14:paraId="6A3FA7F3">
      <w:pPr>
        <w:pStyle w:val="7"/>
        <w:keepNext w:val="0"/>
        <w:keepLines w:val="0"/>
        <w:pageBreakBefore w:val="0"/>
        <w:widowControl/>
        <w:kinsoku/>
        <w:overflowPunct/>
        <w:topLinePunct w:val="0"/>
        <w:bidi w:val="0"/>
        <w:spacing w:line="240" w:lineRule="auto"/>
        <w:ind w:firstLine="0" w:firstLineChars="0"/>
        <w:jc w:val="center"/>
        <w:textAlignment w:val="auto"/>
        <w:rPr>
          <w:rFonts w:hint="default"/>
          <w:highlight w:val="none"/>
          <w:u w:val="none"/>
          <w:lang w:val="en-US" w:eastAsia="zh-CN"/>
        </w:rPr>
      </w:pPr>
      <w:r>
        <w:rPr>
          <w:rFonts w:hint="eastAsia"/>
          <w:highlight w:val="none"/>
          <w:lang w:val="en-US" w:eastAsia="zh-CN"/>
        </w:rPr>
        <w:t>报价比选邀请函（第二次）</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eastAsia" w:eastAsia="黑体"/>
          <w:color w:val="auto"/>
          <w:highlight w:val="none"/>
          <w:lang w:val="en-US" w:eastAsia="zh-CN"/>
        </w:rPr>
      </w:pPr>
      <w:r>
        <w:rPr>
          <w:color w:val="auto"/>
          <w:highlight w:val="none"/>
        </w:rPr>
        <w:t xml:space="preserve"> </w:t>
      </w:r>
    </w:p>
    <w:p w14:paraId="4BF337CF">
      <w:pPr>
        <w:pStyle w:val="2"/>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2"/>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color w:val="auto"/>
          <w:highlight w:val="none"/>
          <w:u w:val="single"/>
          <w:lang w:val="en-US" w:eastAsia="zh-CN"/>
        </w:rPr>
        <w:t>遂宁市安居区生活垃圾分类和处理设施提标改造项目(一期)</w:t>
      </w:r>
      <w:r>
        <w:rPr>
          <w:color w:val="auto"/>
          <w:highlight w:val="none"/>
        </w:rPr>
        <w:t>，现根据施工需要，对本项目工程进行</w:t>
      </w:r>
      <w:r>
        <w:rPr>
          <w:rFonts w:hint="eastAsia"/>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746A3BE7">
      <w:pPr>
        <w:pStyle w:val="2"/>
        <w:keepNext w:val="0"/>
        <w:keepLines w:val="0"/>
        <w:pageBreakBefore w:val="0"/>
        <w:widowControl/>
        <w:numPr>
          <w:ilvl w:val="0"/>
          <w:numId w:val="2"/>
        </w:numPr>
        <w:kinsoku/>
        <w:overflowPunct/>
        <w:topLinePunct w:val="0"/>
        <w:bidi w:val="0"/>
        <w:spacing w:line="360" w:lineRule="auto"/>
        <w:ind w:left="0" w:leftChars="0" w:firstLine="480" w:firstLineChars="200"/>
        <w:textAlignment w:val="auto"/>
        <w:rPr>
          <w:rFonts w:hint="default"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2E98EFEA">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座</w:t>
      </w:r>
      <w:r>
        <w:rPr>
          <w:rFonts w:hint="eastAsia" w:cs="Times New Roman"/>
          <w:color w:val="auto"/>
          <w:kern w:val="2"/>
          <w:sz w:val="24"/>
          <w:highlight w:val="none"/>
          <w:lang w:val="en-US" w:eastAsia="zh-CN" w:bidi="ar-SA"/>
        </w:rPr>
        <w:t>。</w:t>
      </w:r>
    </w:p>
    <w:p w14:paraId="242591AF">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3F2D31DB">
      <w:pPr>
        <w:bidi w:val="0"/>
        <w:spacing w:line="360" w:lineRule="auto"/>
        <w:ind w:firstLine="480" w:firstLineChars="200"/>
        <w:rPr>
          <w:b/>
          <w:color w:val="auto"/>
          <w:highlight w:val="none"/>
        </w:rPr>
      </w:pPr>
      <w:r>
        <w:rPr>
          <w:rFonts w:hint="eastAsia" w:ascii="Times New Roman" w:hAnsi="Times New Roman" w:eastAsia="宋体" w:cs="Times New Roman"/>
          <w:b w:val="0"/>
          <w:bCs w:val="0"/>
          <w:color w:val="auto"/>
          <w:kern w:val="0"/>
          <w:sz w:val="24"/>
          <w:szCs w:val="20"/>
          <w:highlight w:val="none"/>
          <w:lang w:val="en-US" w:eastAsia="zh-CN" w:bidi="ar-SA"/>
        </w:rPr>
        <w:t>劳务2标段-总坪工程，</w:t>
      </w:r>
      <w:r>
        <w:rPr>
          <w:rFonts w:hint="eastAsia" w:ascii="Times New Roman" w:hAnsi="Times New Roman" w:eastAsia="宋体" w:cs="Times New Roman"/>
          <w:color w:val="auto"/>
          <w:kern w:val="2"/>
          <w:sz w:val="24"/>
          <w:highlight w:val="none"/>
          <w:lang w:val="en-US" w:eastAsia="zh-CN" w:bidi="ar-SA"/>
        </w:rPr>
        <w:t>招标范围内包含劳务、辅材、机械、租赁，具体内容详招标清单及图纸。</w:t>
      </w:r>
      <w:r>
        <w:rPr>
          <w:rFonts w:hint="eastAsia"/>
          <w:color w:val="auto"/>
          <w:highlight w:val="none"/>
          <w:lang w:eastAsia="zh-CN"/>
        </w:rPr>
        <w:tab/>
      </w:r>
    </w:p>
    <w:p w14:paraId="5E9EA14E">
      <w:pPr>
        <w:pStyle w:val="2"/>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资质要求：</w:t>
      </w:r>
    </w:p>
    <w:p w14:paraId="4A31B7D6">
      <w:pPr>
        <w:pStyle w:val="2"/>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2"/>
        <w:keepNext w:val="0"/>
        <w:keepLines w:val="0"/>
        <w:pageBreakBefore w:val="0"/>
        <w:widowControl/>
        <w:numPr>
          <w:ilvl w:val="0"/>
          <w:numId w:val="0"/>
        </w:numPr>
        <w:kinsoku/>
        <w:overflowPunct/>
        <w:topLinePunct w:val="0"/>
        <w:bidi w:val="0"/>
        <w:spacing w:line="360" w:lineRule="auto"/>
        <w:ind w:firstLine="482" w:firstLineChars="200"/>
        <w:textAlignment w:val="auto"/>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2"/>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color w:val="auto"/>
          <w:highlight w:val="yellow"/>
          <w:lang w:val="en-US" w:eastAsia="zh-CN"/>
        </w:rPr>
        <w:t>市政二级建造师或施工员证书的</w:t>
      </w:r>
      <w:r>
        <w:rPr>
          <w:color w:val="auto"/>
          <w:highlight w:val="yellow"/>
        </w:rPr>
        <w:t>现场施工管理人员</w:t>
      </w:r>
      <w:r>
        <w:rPr>
          <w:rFonts w:hint="eastAsia"/>
          <w:color w:val="auto"/>
          <w:highlight w:val="yellow"/>
          <w:lang w:val="en-US" w:eastAsia="zh-CN"/>
        </w:rPr>
        <w:t>1</w:t>
      </w:r>
      <w:r>
        <w:rPr>
          <w:color w:val="auto"/>
          <w:highlight w:val="yellow"/>
        </w:rPr>
        <w:t>名，</w:t>
      </w:r>
      <w:r>
        <w:rPr>
          <w:rFonts w:hint="eastAsia"/>
          <w:color w:val="auto"/>
          <w:highlight w:val="yellow"/>
          <w:lang w:val="en-US" w:eastAsia="zh-CN"/>
        </w:rPr>
        <w:t>具有安全员证书的</w:t>
      </w:r>
      <w:r>
        <w:rPr>
          <w:color w:val="auto"/>
          <w:highlight w:val="yellow"/>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keepNext w:val="0"/>
        <w:keepLines w:val="0"/>
        <w:pageBreakBefore w:val="0"/>
        <w:numPr>
          <w:ilvl w:val="0"/>
          <w:numId w:val="3"/>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报价要求：</w:t>
      </w:r>
    </w:p>
    <w:p w14:paraId="06F7A6F2">
      <w:pPr>
        <w:pStyle w:val="2"/>
        <w:keepNext w:val="0"/>
        <w:keepLines w:val="0"/>
        <w:pageBreakBefore w:val="0"/>
        <w:kinsoku/>
        <w:overflowPunct/>
        <w:topLinePunct w:val="0"/>
        <w:bidi w:val="0"/>
        <w:spacing w:line="360" w:lineRule="auto"/>
        <w:ind w:firstLine="480" w:firstLineChars="200"/>
        <w:textAlignment w:val="auto"/>
        <w:rPr>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3</w:t>
      </w:r>
      <w:r>
        <w:rPr>
          <w:color w:val="auto"/>
          <w:highlight w:val="yellow"/>
        </w:rPr>
        <w:t>），下浮率应高于1</w:t>
      </w:r>
      <w:r>
        <w:rPr>
          <w:rFonts w:hint="eastAsia"/>
          <w:color w:val="auto"/>
          <w:highlight w:val="yellow"/>
          <w:lang w:val="en-US" w:eastAsia="zh-CN"/>
        </w:rPr>
        <w:t>2</w:t>
      </w:r>
      <w:r>
        <w:rPr>
          <w:color w:val="auto"/>
          <w:highlight w:val="yellow"/>
        </w:rPr>
        <w:t>%,且下浮率应小于</w:t>
      </w:r>
      <w:r>
        <w:rPr>
          <w:rFonts w:hint="eastAsia"/>
          <w:color w:val="auto"/>
          <w:highlight w:val="yellow"/>
          <w:lang w:val="en-US" w:eastAsia="zh-CN"/>
        </w:rPr>
        <w:t>18</w:t>
      </w:r>
      <w:r>
        <w:rPr>
          <w:color w:val="auto"/>
          <w:highlight w:val="yellow"/>
        </w:rPr>
        <w:t>%，下浮率≤1</w:t>
      </w:r>
      <w:r>
        <w:rPr>
          <w:rFonts w:hint="eastAsia"/>
          <w:color w:val="auto"/>
          <w:highlight w:val="yellow"/>
          <w:lang w:val="en-US" w:eastAsia="zh-CN"/>
        </w:rPr>
        <w:t>2</w:t>
      </w:r>
      <w:r>
        <w:rPr>
          <w:color w:val="auto"/>
          <w:highlight w:val="yellow"/>
        </w:rPr>
        <w:t>%或≥</w:t>
      </w:r>
      <w:r>
        <w:rPr>
          <w:rFonts w:hint="eastAsia"/>
          <w:color w:val="auto"/>
          <w:highlight w:val="yellow"/>
          <w:lang w:val="en-US" w:eastAsia="zh-CN"/>
        </w:rPr>
        <w:t>18</w:t>
      </w:r>
      <w:r>
        <w:rPr>
          <w:color w:val="auto"/>
          <w:highlight w:val="yellow"/>
        </w:rPr>
        <w:t>%视为废标</w:t>
      </w:r>
      <w:r>
        <w:rPr>
          <w:color w:val="auto"/>
          <w:highlight w:val="yellow"/>
          <w:u w:val="none"/>
        </w:rPr>
        <w:t>。</w:t>
      </w:r>
      <w:r>
        <w:rPr>
          <w:rFonts w:hint="eastAsia"/>
          <w:color w:val="auto"/>
          <w:highlight w:val="none"/>
          <w:lang w:val="en-US" w:eastAsia="zh-CN"/>
        </w:rPr>
        <w:t>本次招标的分包单位需根据招标工作内容、工程清单及图纸自行考虑并报价，工程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68BF6599">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7B9EC22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b/>
          <w:bCs/>
          <w:color w:val="auto"/>
          <w:highlight w:val="none"/>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5C9118B7">
      <w:pPr>
        <w:pStyle w:val="2"/>
        <w:keepNext w:val="0"/>
        <w:keepLines w:val="0"/>
        <w:pageBreakBefore w:val="0"/>
        <w:numPr>
          <w:ilvl w:val="0"/>
          <w:numId w:val="3"/>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施工工期：以我司通知进场为准，工期为</w:t>
      </w:r>
      <w:r>
        <w:rPr>
          <w:rFonts w:hint="eastAsia"/>
          <w:color w:val="auto"/>
          <w:highlight w:val="none"/>
          <w:u w:val="single"/>
          <w:lang w:val="en-US" w:eastAsia="zh-CN"/>
        </w:rPr>
        <w:t>365</w:t>
      </w:r>
      <w:r>
        <w:rPr>
          <w:color w:val="auto"/>
          <w:highlight w:val="none"/>
          <w:u w:val="none"/>
        </w:rPr>
        <w:t>天。</w:t>
      </w:r>
      <w:r>
        <w:rPr>
          <w:rFonts w:hint="eastAsia"/>
          <w:color w:val="auto"/>
          <w:highlight w:val="none"/>
          <w:u w:val="none"/>
          <w:lang w:val="en-US" w:eastAsia="zh-CN"/>
        </w:rPr>
        <w:t>(若工期延期则分包工期顺延）。</w:t>
      </w:r>
    </w:p>
    <w:p w14:paraId="58E34D2D">
      <w:pPr>
        <w:pStyle w:val="2"/>
        <w:keepNext w:val="0"/>
        <w:keepLines w:val="0"/>
        <w:pageBreakBefore w:val="0"/>
        <w:numPr>
          <w:ilvl w:val="0"/>
          <w:numId w:val="3"/>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施工要求：满足施工图纸及现行相关规范要求，经相关部门验收合格。</w:t>
      </w:r>
    </w:p>
    <w:p w14:paraId="7026B674">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合同价格形式及工程结算：</w:t>
      </w:r>
      <w:r>
        <w:rPr>
          <w:rFonts w:hint="eastAsia"/>
          <w:color w:val="auto"/>
          <w:highlight w:val="none"/>
          <w:lang w:val="en-US" w:eastAsia="zh-CN"/>
        </w:rPr>
        <w:t>各工程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工程进度款支付：</w:t>
      </w:r>
      <w:r>
        <w:rPr>
          <w:rFonts w:hint="eastAsia"/>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color w:val="auto"/>
          <w:highlight w:val="none"/>
        </w:rPr>
        <w:t>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52176E9D">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keepNext w:val="0"/>
        <w:keepLines w:val="0"/>
        <w:pageBreakBefore w:val="0"/>
        <w:widowControl/>
        <w:numPr>
          <w:ilvl w:val="0"/>
          <w:numId w:val="3"/>
        </w:numPr>
        <w:kinsoku/>
        <w:overflowPunct/>
        <w:topLinePunct w:val="0"/>
        <w:bidi w:val="0"/>
        <w:spacing w:line="360" w:lineRule="auto"/>
        <w:ind w:left="0" w:leftChars="0" w:firstLine="480" w:firstLineChars="200"/>
        <w:textAlignment w:val="auto"/>
        <w:rPr>
          <w:highlight w:val="none"/>
        </w:rPr>
      </w:pPr>
      <w:r>
        <w:rPr>
          <w:rFonts w:ascii="Times New Roman" w:hAnsi="Times New Roman" w:eastAsia="宋体" w:cs="Times New Roman"/>
          <w:color w:val="auto"/>
          <w:highlight w:val="none"/>
        </w:rPr>
        <w:t>请愿意参加本次报价的单位于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7</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上午9</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7</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上午9</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b/>
          <w:bCs/>
          <w:color w:val="auto"/>
          <w:highlight w:val="yellow"/>
          <w:lang w:val="en-US" w:eastAsia="zh-CN"/>
        </w:rPr>
        <w:t>若中标单位自动放弃中标资格，则由第二顺位单位中标。</w:t>
      </w:r>
      <w:r>
        <w:rPr>
          <w:rFonts w:ascii="Times New Roman" w:hAnsi="Times New Roman" w:eastAsia="宋体" w:cs="Times New Roman"/>
          <w:color w:val="auto"/>
          <w:highlight w:val="none"/>
        </w:rPr>
        <w:t>联系人：</w:t>
      </w:r>
      <w:bookmarkStart w:id="0" w:name="_GoBack"/>
      <w:bookmarkEnd w:id="0"/>
      <w:r>
        <w:rPr>
          <w:rFonts w:ascii="Times New Roman" w:hAnsi="Times New Roman" w:eastAsia="宋体" w:cs="Times New Roman"/>
          <w:color w:val="auto"/>
          <w:highlight w:val="none"/>
        </w:rPr>
        <w:t>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3ED1F12E">
      <w:pPr>
        <w:pStyle w:val="4"/>
        <w:keepNext w:val="0"/>
        <w:keepLines w:val="0"/>
        <w:pageBreakBefore w:val="0"/>
        <w:numPr>
          <w:ilvl w:val="0"/>
          <w:numId w:val="5"/>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w:t>
      </w:r>
    </w:p>
    <w:p w14:paraId="2E2B3F33">
      <w:pPr>
        <w:pStyle w:val="2"/>
        <w:keepNext w:val="0"/>
        <w:keepLines w:val="0"/>
        <w:pageBreakBefore w:val="0"/>
        <w:numPr>
          <w:ilvl w:val="0"/>
          <w:numId w:val="6"/>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投标文件封面需注明项目名称</w:t>
      </w:r>
      <w:r>
        <w:rPr>
          <w:rFonts w:hint="eastAsia"/>
          <w:color w:val="auto"/>
          <w:highlight w:val="none"/>
          <w:lang w:val="en-US" w:eastAsia="zh-CN"/>
        </w:rPr>
        <w:t>，</w:t>
      </w:r>
      <w:r>
        <w:rPr>
          <w:color w:val="auto"/>
          <w:highlight w:val="none"/>
        </w:rPr>
        <w:t>公司法人或授权人签字盖章，注明时间；</w:t>
      </w:r>
    </w:p>
    <w:p w14:paraId="54D8FDE2">
      <w:pPr>
        <w:pStyle w:val="2"/>
        <w:keepNext w:val="0"/>
        <w:keepLines w:val="0"/>
        <w:pageBreakBefore w:val="0"/>
        <w:numPr>
          <w:ilvl w:val="0"/>
          <w:numId w:val="6"/>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6DBE6B2A">
      <w:pPr>
        <w:pStyle w:val="2"/>
        <w:keepNext w:val="0"/>
        <w:keepLines w:val="0"/>
        <w:pageBreakBefore w:val="0"/>
        <w:numPr>
          <w:ilvl w:val="0"/>
          <w:numId w:val="6"/>
        </w:numPr>
        <w:kinsoku/>
        <w:overflowPunct/>
        <w:topLinePunct w:val="0"/>
        <w:bidi w:val="0"/>
        <w:spacing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投标文件中所有资料需加盖鲜章。</w:t>
      </w:r>
    </w:p>
    <w:p w14:paraId="4A6C5E23">
      <w:pPr>
        <w:pStyle w:val="4"/>
        <w:keepNext w:val="0"/>
        <w:keepLines w:val="0"/>
        <w:pageBreakBefore w:val="0"/>
        <w:numPr>
          <w:ilvl w:val="0"/>
          <w:numId w:val="5"/>
        </w:numPr>
        <w:kinsoku/>
        <w:overflowPunct/>
        <w:topLinePunct w:val="0"/>
        <w:bidi w:val="0"/>
        <w:spacing w:line="360" w:lineRule="auto"/>
        <w:ind w:left="0" w:leftChars="0" w:firstLine="482" w:firstLineChars="200"/>
        <w:textAlignment w:val="auto"/>
        <w:rPr>
          <w:b w:val="0"/>
          <w:color w:val="auto"/>
          <w:highlight w:val="none"/>
        </w:rPr>
      </w:pPr>
      <w:r>
        <w:rPr>
          <w:color w:val="auto"/>
          <w:highlight w:val="none"/>
        </w:rPr>
        <w:t>投标文件组成要求</w:t>
      </w:r>
    </w:p>
    <w:p w14:paraId="4012FEBF">
      <w:pPr>
        <w:pStyle w:val="2"/>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承诺书；</w:t>
      </w:r>
    </w:p>
    <w:p w14:paraId="503FA36B">
      <w:pPr>
        <w:pStyle w:val="2"/>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附市政二级建造师或施工员与安全员证书及各人员与投标单位签订的劳动合同</w:t>
      </w:r>
      <w:r>
        <w:rPr>
          <w:rFonts w:hint="eastAsia"/>
          <w:color w:val="auto"/>
          <w:highlight w:val="none"/>
          <w:lang w:eastAsia="zh-CN"/>
        </w:rPr>
        <w:t>）；</w:t>
      </w:r>
    </w:p>
    <w:p w14:paraId="499751CE">
      <w:pPr>
        <w:pStyle w:val="2"/>
        <w:keepNext w:val="0"/>
        <w:keepLines w:val="0"/>
        <w:pageBreakBefore w:val="0"/>
        <w:kinsoku/>
        <w:overflowPunct/>
        <w:topLinePunct w:val="0"/>
        <w:bidi w:val="0"/>
        <w:spacing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keepNext w:val="0"/>
        <w:keepLines w:val="0"/>
        <w:pageBreakBefore w:val="0"/>
        <w:widowControl/>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5F2CEB75">
      <w:pPr>
        <w:pStyle w:val="2"/>
        <w:keepNext w:val="0"/>
        <w:keepLines w:val="0"/>
        <w:pageBreakBefore w:val="0"/>
        <w:widowControl/>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7FA99DC6">
      <w:pPr>
        <w:pStyle w:val="2"/>
        <w:keepNext w:val="0"/>
        <w:keepLines w:val="0"/>
        <w:pageBreakBefore w:val="0"/>
        <w:widowControl/>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7FAC2003">
      <w:pPr>
        <w:pStyle w:val="2"/>
        <w:keepNext w:val="0"/>
        <w:keepLines w:val="0"/>
        <w:pageBreakBefore w:val="0"/>
        <w:widowControl/>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2D939AF6">
      <w:pPr>
        <w:pStyle w:val="2"/>
        <w:keepNext w:val="0"/>
        <w:keepLines w:val="0"/>
        <w:pageBreakBefore w:val="0"/>
        <w:widowControl/>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投标人进行虚假、恶意投诉，阻碍招投标活动的正常进行的；</w:t>
      </w:r>
    </w:p>
    <w:p w14:paraId="701F70B2">
      <w:pPr>
        <w:pStyle w:val="2"/>
        <w:keepNext w:val="0"/>
        <w:keepLines w:val="0"/>
        <w:pageBreakBefore w:val="0"/>
        <w:widowControl/>
        <w:numPr>
          <w:ilvl w:val="0"/>
          <w:numId w:val="8"/>
        </w:numPr>
        <w:kinsoku/>
        <w:overflowPunct/>
        <w:topLinePunct w:val="0"/>
        <w:bidi w:val="0"/>
        <w:spacing w:line="360" w:lineRule="auto"/>
        <w:ind w:left="0" w:leftChars="0" w:firstLine="480" w:firstLineChars="200"/>
        <w:textAlignment w:val="auto"/>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1FB2F31E">
      <w:pPr>
        <w:pStyle w:val="2"/>
        <w:keepNext w:val="0"/>
        <w:keepLines w:val="0"/>
        <w:pageBreakBefore w:val="0"/>
        <w:kinsoku/>
        <w:overflowPunct/>
        <w:topLinePunct w:val="0"/>
        <w:bidi w:val="0"/>
        <w:spacing w:line="360" w:lineRule="auto"/>
        <w:ind w:left="0" w:leftChars="0" w:firstLine="480" w:firstLineChars="200"/>
        <w:textAlignment w:val="auto"/>
        <w:rPr>
          <w:color w:val="auto"/>
          <w:highlight w:val="none"/>
          <w:u w:val="none"/>
        </w:rPr>
      </w:pPr>
    </w:p>
    <w:p w14:paraId="1552A4D2">
      <w:pPr>
        <w:pStyle w:val="2"/>
        <w:keepNext w:val="0"/>
        <w:keepLines w:val="0"/>
        <w:pageBreakBefore w:val="0"/>
        <w:kinsoku/>
        <w:overflowPunct/>
        <w:topLinePunct w:val="0"/>
        <w:bidi w:val="0"/>
        <w:spacing w:line="360" w:lineRule="auto"/>
        <w:ind w:left="420" w:leftChars="200" w:firstLine="480" w:firstLineChars="200"/>
        <w:textAlignment w:val="auto"/>
        <w:rPr>
          <w:color w:val="auto"/>
          <w:highlight w:val="none"/>
          <w:u w:val="none"/>
        </w:rPr>
      </w:pPr>
    </w:p>
    <w:p w14:paraId="7C582AE0">
      <w:pPr>
        <w:pStyle w:val="2"/>
        <w:keepNext w:val="0"/>
        <w:keepLines w:val="0"/>
        <w:pageBreakBefore w:val="0"/>
        <w:kinsoku/>
        <w:overflowPunct/>
        <w:topLinePunct w:val="0"/>
        <w:bidi w:val="0"/>
        <w:spacing w:line="360" w:lineRule="auto"/>
        <w:ind w:left="420" w:leftChars="200" w:firstLine="480" w:firstLineChars="200"/>
        <w:textAlignment w:val="auto"/>
        <w:rPr>
          <w:rFonts w:hint="eastAsia"/>
          <w:color w:val="auto"/>
          <w:highlight w:val="none"/>
          <w:u w:val="none"/>
          <w:lang w:val="en-US" w:eastAsia="zh-CN"/>
        </w:rPr>
      </w:pPr>
      <w:r>
        <w:rPr>
          <w:color w:val="auto"/>
          <w:highlight w:val="none"/>
          <w:u w:val="none"/>
        </w:rPr>
        <w:t>附件：</w:t>
      </w:r>
    </w:p>
    <w:p w14:paraId="7F2AB5FF">
      <w:pPr>
        <w:pStyle w:val="2"/>
        <w:keepNext w:val="0"/>
        <w:keepLines w:val="0"/>
        <w:pageBreakBefore w:val="0"/>
        <w:numPr>
          <w:ilvl w:val="0"/>
          <w:numId w:val="9"/>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承诺书</w:t>
      </w:r>
    </w:p>
    <w:p w14:paraId="5FA8E918">
      <w:pPr>
        <w:pStyle w:val="2"/>
        <w:keepNext w:val="0"/>
        <w:keepLines w:val="0"/>
        <w:pageBreakBefore w:val="0"/>
        <w:numPr>
          <w:ilvl w:val="0"/>
          <w:numId w:val="9"/>
        </w:numPr>
        <w:kinsoku/>
        <w:overflowPunct/>
        <w:topLinePunct w:val="0"/>
        <w:bidi w:val="0"/>
        <w:spacing w:line="360" w:lineRule="auto"/>
        <w:ind w:left="425"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keepNext w:val="0"/>
        <w:keepLines w:val="0"/>
        <w:pageBreakBefore w:val="0"/>
        <w:numPr>
          <w:ilvl w:val="0"/>
          <w:numId w:val="9"/>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项目报价表</w:t>
      </w:r>
    </w:p>
    <w:p w14:paraId="1C487691">
      <w:pPr>
        <w:pStyle w:val="2"/>
        <w:keepNext w:val="0"/>
        <w:keepLines w:val="0"/>
        <w:pageBreakBefore w:val="0"/>
        <w:numPr>
          <w:ilvl w:val="0"/>
          <w:numId w:val="9"/>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项目清单</w:t>
      </w:r>
    </w:p>
    <w:p w14:paraId="5B7D1B1C">
      <w:pPr>
        <w:pStyle w:val="2"/>
        <w:keepNext w:val="0"/>
        <w:keepLines w:val="0"/>
        <w:pageBreakBefore w:val="0"/>
        <w:kinsoku/>
        <w:overflowPunct/>
        <w:topLinePunct w:val="0"/>
        <w:bidi w:val="0"/>
        <w:spacing w:line="360" w:lineRule="auto"/>
        <w:ind w:left="1050" w:leftChars="500" w:firstLine="480" w:firstLineChars="200"/>
        <w:textAlignment w:val="auto"/>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4</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keepNext w:val="0"/>
        <w:keepLines w:val="0"/>
        <w:pageBreakBefore w:val="0"/>
        <w:kinsoku/>
        <w:overflowPunct/>
        <w:topLinePunct w:val="0"/>
        <w:bidi w:val="0"/>
        <w:spacing w:line="360" w:lineRule="auto"/>
        <w:ind w:firstLine="482" w:firstLineChars="200"/>
        <w:textAlignment w:val="auto"/>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keepNext w:val="0"/>
        <w:keepLines w:val="0"/>
        <w:pageBreakBefore w:val="0"/>
        <w:kinsoku/>
        <w:overflowPunct/>
        <w:topLinePunct w:val="0"/>
        <w:bidi w:val="0"/>
        <w:spacing w:line="360" w:lineRule="auto"/>
        <w:ind w:firstLine="482" w:firstLineChars="200"/>
        <w:textAlignment w:val="auto"/>
        <w:outlineLvl w:val="0"/>
        <w:rPr>
          <w:rFonts w:hint="eastAsia"/>
          <w:b/>
          <w:bCs/>
          <w:color w:val="auto"/>
          <w:sz w:val="44"/>
          <w:szCs w:val="44"/>
          <w:highlight w:val="none"/>
          <w:lang w:eastAsia="zh-CN"/>
        </w:rPr>
      </w:pPr>
      <w:r>
        <w:rPr>
          <w:color w:val="auto"/>
          <w:highlight w:val="none"/>
        </w:rPr>
        <w:t>承诺书</w:t>
      </w:r>
    </w:p>
    <w:p w14:paraId="50D8444C">
      <w:pPr>
        <w:keepNext w:val="0"/>
        <w:keepLines w:val="0"/>
        <w:pageBreakBefore w:val="0"/>
        <w:widowControl w:val="0"/>
        <w:numPr>
          <w:ilvl w:val="0"/>
          <w:numId w:val="10"/>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keepNext w:val="0"/>
        <w:keepLines w:val="0"/>
        <w:pageBreakBefore w:val="0"/>
        <w:numPr>
          <w:ilvl w:val="0"/>
          <w:numId w:val="11"/>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规划：制定详细施工方案，确保按期完成。</w:t>
      </w:r>
    </w:p>
    <w:p w14:paraId="4CDB2DFB">
      <w:pPr>
        <w:pStyle w:val="2"/>
        <w:keepNext w:val="0"/>
        <w:keepLines w:val="0"/>
        <w:pageBreakBefore w:val="0"/>
        <w:numPr>
          <w:ilvl w:val="0"/>
          <w:numId w:val="11"/>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技术：采用先进技术，提高施工效率。</w:t>
      </w:r>
    </w:p>
    <w:p w14:paraId="7F480100">
      <w:pPr>
        <w:pStyle w:val="2"/>
        <w:keepNext w:val="0"/>
        <w:keepLines w:val="0"/>
        <w:pageBreakBefore w:val="0"/>
        <w:numPr>
          <w:ilvl w:val="0"/>
          <w:numId w:val="11"/>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安全：严格安全保障措施，确保人员和设备安全。</w:t>
      </w:r>
    </w:p>
    <w:p w14:paraId="6A525B7A">
      <w:pPr>
        <w:pStyle w:val="2"/>
        <w:keepNext w:val="0"/>
        <w:keepLines w:val="0"/>
        <w:pageBreakBefore w:val="0"/>
        <w:numPr>
          <w:ilvl w:val="0"/>
          <w:numId w:val="11"/>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环保：遵守环保法规，保护环境。</w:t>
      </w:r>
    </w:p>
    <w:p w14:paraId="3F598276">
      <w:pPr>
        <w:keepNext w:val="0"/>
        <w:keepLines w:val="0"/>
        <w:pageBreakBefore w:val="0"/>
        <w:widowControl w:val="0"/>
        <w:numPr>
          <w:ilvl w:val="0"/>
          <w:numId w:val="10"/>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资质：具</w:t>
      </w:r>
      <w:r>
        <w:rPr>
          <w:rFonts w:ascii="Times New Roman" w:hAnsi="Times New Roman" w:cs="Times New Roman"/>
          <w:color w:val="auto"/>
          <w:highlight w:val="none"/>
        </w:rPr>
        <w:t>备相应施工劳务企业资质。</w:t>
      </w:r>
    </w:p>
    <w:p w14:paraId="3FA0527E">
      <w:pPr>
        <w:pStyle w:val="2"/>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材料：按合同要求采购材料，确保质量。</w:t>
      </w:r>
    </w:p>
    <w:p w14:paraId="4595829A">
      <w:pPr>
        <w:pStyle w:val="2"/>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质量：恪守设计方案和合同，保证工程质量。</w:t>
      </w:r>
    </w:p>
    <w:p w14:paraId="4C645DC4">
      <w:pPr>
        <w:pStyle w:val="2"/>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合作：善意合作，与各方建立友好关系。</w:t>
      </w:r>
    </w:p>
    <w:p w14:paraId="67D7989C">
      <w:pPr>
        <w:keepNext w:val="0"/>
        <w:keepLines w:val="0"/>
        <w:pageBreakBefore w:val="0"/>
        <w:widowControl w:val="0"/>
        <w:numPr>
          <w:ilvl w:val="0"/>
          <w:numId w:val="10"/>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pageBreakBefore w:val="0"/>
        <w:widowControl w:val="0"/>
        <w:numPr>
          <w:ilvl w:val="0"/>
          <w:numId w:val="10"/>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28A8296">
      <w:pPr>
        <w:pStyle w:val="2"/>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16670576">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46038F91">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596C8605">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258307D6">
      <w:pPr>
        <w:pStyle w:val="8"/>
        <w:keepNext w:val="0"/>
        <w:keepLines w:val="0"/>
        <w:pageBreakBefore w:val="0"/>
        <w:kinsoku/>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keepNext w:val="0"/>
        <w:keepLines w:val="0"/>
        <w:pageBreakBefore w:val="0"/>
        <w:kinsoku/>
        <w:overflowPunct/>
        <w:topLinePunct w:val="0"/>
        <w:bidi w:val="0"/>
        <w:spacing w:line="360" w:lineRule="auto"/>
        <w:ind w:left="0" w:leftChars="0" w:firstLine="482" w:firstLineChars="200"/>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keepNext w:val="0"/>
              <w:keepLines w:val="0"/>
              <w:pageBreakBefore w:val="0"/>
              <w:kinsoku/>
              <w:overflowPunct/>
              <w:topLinePunct w:val="0"/>
              <w:bidi w:val="0"/>
              <w:spacing w:line="360" w:lineRule="auto"/>
              <w:ind w:left="0" w:leftChars="0" w:firstLine="480" w:firstLineChars="200"/>
              <w:jc w:val="both"/>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keepNext w:val="0"/>
              <w:keepLines w:val="0"/>
              <w:pageBreakBefore w:val="0"/>
              <w:kinsoku/>
              <w:overflowPunct/>
              <w:topLinePunct w:val="0"/>
              <w:bidi w:val="0"/>
              <w:spacing w:line="360" w:lineRule="auto"/>
              <w:ind w:left="0" w:leftChars="0" w:firstLine="480" w:firstLineChars="200"/>
              <w:jc w:val="both"/>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keepNext w:val="0"/>
              <w:keepLines w:val="0"/>
              <w:pageBreakBefore w:val="0"/>
              <w:kinsoku/>
              <w:overflowPunct/>
              <w:topLinePunct w:val="0"/>
              <w:bidi w:val="0"/>
              <w:spacing w:line="360" w:lineRule="auto"/>
              <w:ind w:left="0" w:leftChars="0" w:firstLine="480" w:firstLineChars="200"/>
              <w:jc w:val="both"/>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keepNext w:val="0"/>
              <w:keepLines w:val="0"/>
              <w:pageBreakBefore w:val="0"/>
              <w:kinsoku/>
              <w:overflowPunct/>
              <w:topLinePunct w:val="0"/>
              <w:bidi w:val="0"/>
              <w:spacing w:line="360" w:lineRule="auto"/>
              <w:ind w:left="0" w:leftChars="0" w:firstLine="480" w:firstLineChars="200"/>
              <w:jc w:val="both"/>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keepNext w:val="0"/>
              <w:keepLines w:val="0"/>
              <w:pageBreakBefore w:val="0"/>
              <w:kinsoku/>
              <w:overflowPunct/>
              <w:topLinePunct w:val="0"/>
              <w:bidi w:val="0"/>
              <w:spacing w:line="360" w:lineRule="auto"/>
              <w:ind w:left="0" w:leftChars="0" w:firstLine="480" w:firstLineChars="200"/>
              <w:jc w:val="both"/>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27994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917E61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B4954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0366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9897F4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8D812F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50F0B4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8AAB64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5F7ACA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246E93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7B92666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E12969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C966D0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55C274D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EA5769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C4B124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00A95E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6926BD7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1CC22CE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F8936A3">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F8943C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90D175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2212D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F2C963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68DF8C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5FBCF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5154F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7CCE05DE">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99AC8F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7A42BDA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CC0C27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A12285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41F361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708954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10804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119CC7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4E0693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D8829E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799335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6FA66B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A354E1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934D23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92CAE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006D86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5899A8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381F1D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9FBBD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967CCE5">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86EEE3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1A0541B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5F5152A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1207F6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10D32F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BA8B080">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26B2F0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A87B6F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bl>
    <w:p w14:paraId="114CC420">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1C95FA63">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B0DA25B">
      <w:pPr>
        <w:pStyle w:val="8"/>
        <w:keepNext w:val="0"/>
        <w:keepLines w:val="0"/>
        <w:pageBreakBefore w:val="0"/>
        <w:kinsoku/>
        <w:overflowPunct/>
        <w:topLinePunct w:val="0"/>
        <w:bidi w:val="0"/>
        <w:spacing w:line="360" w:lineRule="auto"/>
        <w:ind w:left="0" w:leftChars="0" w:firstLine="482" w:firstLineChars="200"/>
        <w:textAlignment w:val="auto"/>
        <w:rPr>
          <w:rFonts w:hint="eastAsia"/>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523D1750">
      <w:pPr>
        <w:pStyle w:val="12"/>
        <w:keepNext w:val="0"/>
        <w:keepLines w:val="0"/>
        <w:pageBreakBefore w:val="0"/>
        <w:kinsoku/>
        <w:overflowPunct/>
        <w:topLinePunct w:val="0"/>
        <w:bidi w:val="0"/>
        <w:spacing w:line="360" w:lineRule="auto"/>
        <w:ind w:firstLine="482" w:firstLineChars="200"/>
        <w:textAlignment w:val="auto"/>
        <w:outlineLvl w:val="0"/>
        <w:rPr>
          <w:rFonts w:hint="eastAsia"/>
          <w:highlight w:val="none"/>
          <w:lang w:val="en-US" w:eastAsia="zh-CN"/>
        </w:rPr>
      </w:pPr>
      <w:r>
        <w:rPr>
          <w:highlight w:val="none"/>
        </w:rPr>
        <w:t>附件</w:t>
      </w:r>
      <w:r>
        <w:rPr>
          <w:rFonts w:hint="eastAsia"/>
          <w:highlight w:val="none"/>
          <w:lang w:val="en-US" w:eastAsia="zh-CN"/>
        </w:rPr>
        <w:t>三：</w:t>
      </w:r>
    </w:p>
    <w:p w14:paraId="5D0A8F53">
      <w:pPr>
        <w:pStyle w:val="16"/>
        <w:keepNext w:val="0"/>
        <w:keepLines w:val="0"/>
        <w:pageBreakBefore w:val="0"/>
        <w:kinsoku/>
        <w:overflowPunct/>
        <w:topLinePunct w:val="0"/>
        <w:bidi w:val="0"/>
        <w:spacing w:line="360" w:lineRule="auto"/>
        <w:ind w:firstLine="482" w:firstLineChars="200"/>
        <w:textAlignment w:val="auto"/>
        <w:outlineLvl w:val="9"/>
        <w:rPr>
          <w:rFonts w:hint="default" w:eastAsia="宋体"/>
          <w:highlight w:val="none"/>
          <w:lang w:val="en-US" w:eastAsia="zh-CN"/>
        </w:rPr>
      </w:pPr>
      <w:r>
        <w:rPr>
          <w:highlight w:val="none"/>
          <w:u w:val="single"/>
        </w:rPr>
        <w:t xml:space="preserve"> </w:t>
      </w:r>
      <w:r>
        <w:rPr>
          <w:rFonts w:hint="eastAsia"/>
          <w:color w:val="auto"/>
          <w:highlight w:val="none"/>
          <w:u w:val="single"/>
          <w:lang w:val="en-US" w:eastAsia="zh-CN"/>
        </w:rPr>
        <w:t>遂宁市安居区生活垃圾分类和处理设施提标改造项目(一期)</w:t>
      </w:r>
      <w:r>
        <w:rPr>
          <w:highlight w:val="none"/>
          <w:u w:val="single"/>
        </w:rPr>
        <w:t xml:space="preserve">  </w:t>
      </w:r>
      <w:r>
        <w:rPr>
          <w:highlight w:val="none"/>
        </w:rPr>
        <w:t>项目</w:t>
      </w:r>
      <w:r>
        <w:rPr>
          <w:rFonts w:hint="eastAsia"/>
          <w:highlight w:val="none"/>
          <w:lang w:eastAsia="zh-CN"/>
        </w:rPr>
        <w:t>（</w:t>
      </w:r>
      <w:r>
        <w:rPr>
          <w:rFonts w:hint="eastAsia"/>
          <w:highlight w:val="none"/>
          <w:lang w:val="en-US" w:eastAsia="zh-CN"/>
        </w:rPr>
        <w:t>2标段）</w:t>
      </w:r>
    </w:p>
    <w:p w14:paraId="46957218">
      <w:pPr>
        <w:pStyle w:val="16"/>
        <w:keepNext w:val="0"/>
        <w:keepLines w:val="0"/>
        <w:pageBreakBefore w:val="0"/>
        <w:kinsoku/>
        <w:overflowPunct/>
        <w:topLinePunct w:val="0"/>
        <w:bidi w:val="0"/>
        <w:spacing w:line="360" w:lineRule="auto"/>
        <w:ind w:firstLine="482" w:firstLineChars="200"/>
        <w:textAlignment w:val="auto"/>
        <w:outlineLvl w:val="9"/>
        <w:rPr>
          <w:rFonts w:hint="default" w:eastAsia="宋体"/>
          <w:highlight w:val="none"/>
          <w:lang w:val="en-US" w:eastAsia="zh-CN"/>
        </w:rPr>
      </w:pPr>
      <w:r>
        <w:rPr>
          <w:rFonts w:hint="eastAsia"/>
          <w:highlight w:val="none"/>
          <w:lang w:val="en-US" w:eastAsia="zh-CN"/>
        </w:rPr>
        <w:t>劳务工程</w:t>
      </w:r>
      <w:r>
        <w:rPr>
          <w:highlight w:val="none"/>
        </w:rPr>
        <w:t>报价表</w:t>
      </w:r>
      <w:r>
        <w:rPr>
          <w:rFonts w:hint="eastAsia"/>
          <w:highlight w:val="none"/>
          <w:lang w:eastAsia="zh-CN"/>
        </w:rPr>
        <w:t>（</w:t>
      </w:r>
      <w:r>
        <w:rPr>
          <w:rFonts w:hint="eastAsia"/>
          <w:highlight w:val="none"/>
          <w:lang w:val="en-US" w:eastAsia="zh-CN"/>
        </w:rPr>
        <w:t>第二次）</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364"/>
        <w:gridCol w:w="2996"/>
        <w:gridCol w:w="4719"/>
        <w:gridCol w:w="214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33"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87"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57"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65"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55" w:type="pct"/>
            <w:noWrap w:val="0"/>
            <w:vAlign w:val="center"/>
          </w:tcPr>
          <w:p w14:paraId="5221EDD5">
            <w:pPr>
              <w:keepNext w:val="0"/>
              <w:keepLines w:val="0"/>
              <w:pageBreakBefore w:val="0"/>
              <w:kinsoku/>
              <w:overflowPunct/>
              <w:topLinePunct w:val="0"/>
              <w:bidi w:val="0"/>
              <w:spacing w:line="240" w:lineRule="auto"/>
              <w:ind w:firstLine="0" w:firstLineChars="0"/>
              <w:jc w:val="center"/>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333"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87"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57"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900" w:firstLineChars="3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65"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83449C0">
            <w:pPr>
              <w:pStyle w:val="8"/>
              <w:keepNext w:val="0"/>
              <w:keepLines w:val="0"/>
              <w:pageBreakBefore w:val="0"/>
              <w:kinsoku/>
              <w:overflowPunct/>
              <w:topLinePunct w:val="0"/>
              <w:bidi w:val="0"/>
              <w:spacing w:line="360" w:lineRule="auto"/>
              <w:ind w:left="0" w:leftChars="0" w:firstLine="420" w:firstLineChars="200"/>
              <w:textAlignment w:val="auto"/>
              <w:rPr>
                <w:rFonts w:hint="eastAsia"/>
                <w:highlight w:val="none"/>
                <w:lang w:val="en-US" w:eastAsia="zh-CN"/>
              </w:rPr>
            </w:pPr>
          </w:p>
        </w:tc>
        <w:tc>
          <w:tcPr>
            <w:tcW w:w="755" w:type="pct"/>
            <w:noWrap w:val="0"/>
            <w:vAlign w:val="center"/>
          </w:tcPr>
          <w:p w14:paraId="349BD7E3">
            <w:pPr>
              <w:keepNext w:val="0"/>
              <w:keepLines w:val="0"/>
              <w:pageBreakBefore w:val="0"/>
              <w:kinsoku/>
              <w:overflowPunct/>
              <w:topLinePunct w:val="0"/>
              <w:bidi w:val="0"/>
              <w:spacing w:line="360" w:lineRule="auto"/>
              <w:ind w:firstLine="600" w:firstLineChars="200"/>
              <w:jc w:val="center"/>
              <w:textAlignment w:val="auto"/>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8"/>
  </w:num>
  <w:num w:numId="8">
    <w:abstractNumId w:val="10"/>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264E69"/>
    <w:rsid w:val="00351550"/>
    <w:rsid w:val="00416146"/>
    <w:rsid w:val="005E0AA6"/>
    <w:rsid w:val="007C2CDB"/>
    <w:rsid w:val="009E5347"/>
    <w:rsid w:val="009F4FFA"/>
    <w:rsid w:val="01341807"/>
    <w:rsid w:val="01BD35AB"/>
    <w:rsid w:val="0261487E"/>
    <w:rsid w:val="02E5725D"/>
    <w:rsid w:val="03942A31"/>
    <w:rsid w:val="03AD58A1"/>
    <w:rsid w:val="03D1333D"/>
    <w:rsid w:val="03E017D2"/>
    <w:rsid w:val="03E62D75"/>
    <w:rsid w:val="03F5700C"/>
    <w:rsid w:val="044C330C"/>
    <w:rsid w:val="04904FA7"/>
    <w:rsid w:val="049F168E"/>
    <w:rsid w:val="04BB57F9"/>
    <w:rsid w:val="04D01847"/>
    <w:rsid w:val="05031C1C"/>
    <w:rsid w:val="052E47BF"/>
    <w:rsid w:val="053C1101"/>
    <w:rsid w:val="054A450B"/>
    <w:rsid w:val="054B711F"/>
    <w:rsid w:val="054F4E62"/>
    <w:rsid w:val="057C19CF"/>
    <w:rsid w:val="05A30D0A"/>
    <w:rsid w:val="0624009C"/>
    <w:rsid w:val="06695AAF"/>
    <w:rsid w:val="068E19BA"/>
    <w:rsid w:val="0697152A"/>
    <w:rsid w:val="06F85085"/>
    <w:rsid w:val="07907370"/>
    <w:rsid w:val="07D17DB0"/>
    <w:rsid w:val="08000695"/>
    <w:rsid w:val="08297BEC"/>
    <w:rsid w:val="082D0DDC"/>
    <w:rsid w:val="08AE6343"/>
    <w:rsid w:val="08B576D2"/>
    <w:rsid w:val="08BA6A96"/>
    <w:rsid w:val="08C276F9"/>
    <w:rsid w:val="09111F90"/>
    <w:rsid w:val="09976DD7"/>
    <w:rsid w:val="099F5A0B"/>
    <w:rsid w:val="09A3577C"/>
    <w:rsid w:val="0AAA2B3A"/>
    <w:rsid w:val="0AE918B4"/>
    <w:rsid w:val="0AF261CB"/>
    <w:rsid w:val="0B136931"/>
    <w:rsid w:val="0B301291"/>
    <w:rsid w:val="0B3C7C36"/>
    <w:rsid w:val="0BB43253"/>
    <w:rsid w:val="0BDF05C2"/>
    <w:rsid w:val="0BFC1173"/>
    <w:rsid w:val="0C3B7EEE"/>
    <w:rsid w:val="0C4274CE"/>
    <w:rsid w:val="0C4D7C21"/>
    <w:rsid w:val="0C7B29E0"/>
    <w:rsid w:val="0CC779D3"/>
    <w:rsid w:val="0CE9794A"/>
    <w:rsid w:val="0CFF0F1B"/>
    <w:rsid w:val="0D7D0092"/>
    <w:rsid w:val="0D7F02AE"/>
    <w:rsid w:val="0DA90E87"/>
    <w:rsid w:val="0DC857B1"/>
    <w:rsid w:val="0E20609D"/>
    <w:rsid w:val="0E682AF0"/>
    <w:rsid w:val="0E742D85"/>
    <w:rsid w:val="0F411D39"/>
    <w:rsid w:val="0FB471A8"/>
    <w:rsid w:val="108005C5"/>
    <w:rsid w:val="10D64689"/>
    <w:rsid w:val="11297E47"/>
    <w:rsid w:val="125515DD"/>
    <w:rsid w:val="12AF1625"/>
    <w:rsid w:val="12C549B5"/>
    <w:rsid w:val="12C7072D"/>
    <w:rsid w:val="12F92A37"/>
    <w:rsid w:val="13001549"/>
    <w:rsid w:val="13082AF4"/>
    <w:rsid w:val="137D2B9A"/>
    <w:rsid w:val="13F61FEF"/>
    <w:rsid w:val="146A5814"/>
    <w:rsid w:val="147979C3"/>
    <w:rsid w:val="14CA0061"/>
    <w:rsid w:val="15284D87"/>
    <w:rsid w:val="153F4C73"/>
    <w:rsid w:val="15512590"/>
    <w:rsid w:val="155700D2"/>
    <w:rsid w:val="156B0BFC"/>
    <w:rsid w:val="15AC740B"/>
    <w:rsid w:val="15B139C8"/>
    <w:rsid w:val="15CA4090"/>
    <w:rsid w:val="15D64EC1"/>
    <w:rsid w:val="15F07F9B"/>
    <w:rsid w:val="16302179"/>
    <w:rsid w:val="169804E7"/>
    <w:rsid w:val="16B8213B"/>
    <w:rsid w:val="16E66CA8"/>
    <w:rsid w:val="172B1C15"/>
    <w:rsid w:val="17824C23"/>
    <w:rsid w:val="17AA4179"/>
    <w:rsid w:val="17B648CC"/>
    <w:rsid w:val="17E4768B"/>
    <w:rsid w:val="17F17FFA"/>
    <w:rsid w:val="18616F2E"/>
    <w:rsid w:val="187A1D9E"/>
    <w:rsid w:val="18950986"/>
    <w:rsid w:val="18C474BD"/>
    <w:rsid w:val="193C34F7"/>
    <w:rsid w:val="1954439D"/>
    <w:rsid w:val="196640D0"/>
    <w:rsid w:val="19C05ED6"/>
    <w:rsid w:val="1A606D71"/>
    <w:rsid w:val="1A8B0292"/>
    <w:rsid w:val="1AFC1190"/>
    <w:rsid w:val="1B0B13D3"/>
    <w:rsid w:val="1B157B5C"/>
    <w:rsid w:val="1B2304CB"/>
    <w:rsid w:val="1B682381"/>
    <w:rsid w:val="1B981220"/>
    <w:rsid w:val="1BB750B7"/>
    <w:rsid w:val="1BE7774A"/>
    <w:rsid w:val="1BF260EF"/>
    <w:rsid w:val="1C057BD0"/>
    <w:rsid w:val="1C2564C4"/>
    <w:rsid w:val="1C6074FD"/>
    <w:rsid w:val="1C8608D3"/>
    <w:rsid w:val="1C922125"/>
    <w:rsid w:val="1CB33AD0"/>
    <w:rsid w:val="1D1C3424"/>
    <w:rsid w:val="1D3D339A"/>
    <w:rsid w:val="1D6848BB"/>
    <w:rsid w:val="1D7768AC"/>
    <w:rsid w:val="1DC03A49"/>
    <w:rsid w:val="1DFD14A7"/>
    <w:rsid w:val="1E067C30"/>
    <w:rsid w:val="1E087E4C"/>
    <w:rsid w:val="1E197963"/>
    <w:rsid w:val="1E1C064C"/>
    <w:rsid w:val="1E2D1660"/>
    <w:rsid w:val="1E2F7187"/>
    <w:rsid w:val="1E391DB3"/>
    <w:rsid w:val="1EC04283"/>
    <w:rsid w:val="1EF25D47"/>
    <w:rsid w:val="1F2B2044"/>
    <w:rsid w:val="1F52137F"/>
    <w:rsid w:val="1F645556"/>
    <w:rsid w:val="1F8D23B7"/>
    <w:rsid w:val="1FB57B5F"/>
    <w:rsid w:val="1FC87893"/>
    <w:rsid w:val="1FD75D28"/>
    <w:rsid w:val="200D1749"/>
    <w:rsid w:val="200D34F7"/>
    <w:rsid w:val="20322F5E"/>
    <w:rsid w:val="20803CC9"/>
    <w:rsid w:val="20AC0F62"/>
    <w:rsid w:val="20C75D9C"/>
    <w:rsid w:val="20D81D57"/>
    <w:rsid w:val="219E4D4F"/>
    <w:rsid w:val="21D97B35"/>
    <w:rsid w:val="220A4192"/>
    <w:rsid w:val="22305CDC"/>
    <w:rsid w:val="228850B7"/>
    <w:rsid w:val="23737B15"/>
    <w:rsid w:val="237D2742"/>
    <w:rsid w:val="23BC74F2"/>
    <w:rsid w:val="23C10EDB"/>
    <w:rsid w:val="23CE2F9E"/>
    <w:rsid w:val="241F1A4B"/>
    <w:rsid w:val="2432352D"/>
    <w:rsid w:val="243A1AAD"/>
    <w:rsid w:val="243C25FD"/>
    <w:rsid w:val="243C41CF"/>
    <w:rsid w:val="249D704F"/>
    <w:rsid w:val="24C22B02"/>
    <w:rsid w:val="24CE0F21"/>
    <w:rsid w:val="25AD4B37"/>
    <w:rsid w:val="25E116AE"/>
    <w:rsid w:val="25F25669"/>
    <w:rsid w:val="25FA62CC"/>
    <w:rsid w:val="260F567D"/>
    <w:rsid w:val="2684130D"/>
    <w:rsid w:val="26C37006"/>
    <w:rsid w:val="26E054C2"/>
    <w:rsid w:val="27391076"/>
    <w:rsid w:val="276A7481"/>
    <w:rsid w:val="27787DF0"/>
    <w:rsid w:val="27826579"/>
    <w:rsid w:val="27910EB2"/>
    <w:rsid w:val="27912C60"/>
    <w:rsid w:val="27E5541C"/>
    <w:rsid w:val="283C0E1E"/>
    <w:rsid w:val="284952E9"/>
    <w:rsid w:val="28BE7A85"/>
    <w:rsid w:val="28C826B1"/>
    <w:rsid w:val="28CD7974"/>
    <w:rsid w:val="28D20310"/>
    <w:rsid w:val="28E90D64"/>
    <w:rsid w:val="291476A5"/>
    <w:rsid w:val="293E30BA"/>
    <w:rsid w:val="2A0E0598"/>
    <w:rsid w:val="2A50113D"/>
    <w:rsid w:val="2A5341FD"/>
    <w:rsid w:val="2A88659C"/>
    <w:rsid w:val="2B7B7EAF"/>
    <w:rsid w:val="2C063C1D"/>
    <w:rsid w:val="2C210A56"/>
    <w:rsid w:val="2C4C53A8"/>
    <w:rsid w:val="2C564697"/>
    <w:rsid w:val="2CB35427"/>
    <w:rsid w:val="2CE850D0"/>
    <w:rsid w:val="2CF91A3F"/>
    <w:rsid w:val="2D12039F"/>
    <w:rsid w:val="2D1C121E"/>
    <w:rsid w:val="2D1C4D7A"/>
    <w:rsid w:val="2D5A2500"/>
    <w:rsid w:val="2DB12B6C"/>
    <w:rsid w:val="2DB80F46"/>
    <w:rsid w:val="2E2A34C6"/>
    <w:rsid w:val="2E3C1B78"/>
    <w:rsid w:val="2E5A0250"/>
    <w:rsid w:val="2E620EB2"/>
    <w:rsid w:val="2EAF2A1C"/>
    <w:rsid w:val="2EB37960"/>
    <w:rsid w:val="2EB84F76"/>
    <w:rsid w:val="2EFA10EB"/>
    <w:rsid w:val="2F6A022C"/>
    <w:rsid w:val="2F6F3887"/>
    <w:rsid w:val="2FB2291F"/>
    <w:rsid w:val="2FC17E5A"/>
    <w:rsid w:val="2FCC6F2B"/>
    <w:rsid w:val="30161F54"/>
    <w:rsid w:val="306E7FE2"/>
    <w:rsid w:val="30D616E4"/>
    <w:rsid w:val="30ED2E37"/>
    <w:rsid w:val="310D15A9"/>
    <w:rsid w:val="310F6C24"/>
    <w:rsid w:val="312E32CE"/>
    <w:rsid w:val="31857392"/>
    <w:rsid w:val="31DD71CE"/>
    <w:rsid w:val="320C360F"/>
    <w:rsid w:val="322F554F"/>
    <w:rsid w:val="32537490"/>
    <w:rsid w:val="32987598"/>
    <w:rsid w:val="32E242A8"/>
    <w:rsid w:val="33024A12"/>
    <w:rsid w:val="331A7FAD"/>
    <w:rsid w:val="33CD502C"/>
    <w:rsid w:val="33FE3469"/>
    <w:rsid w:val="342B5F2F"/>
    <w:rsid w:val="34A75871"/>
    <w:rsid w:val="34E16FD5"/>
    <w:rsid w:val="34F77462"/>
    <w:rsid w:val="35447564"/>
    <w:rsid w:val="35472BB0"/>
    <w:rsid w:val="35977693"/>
    <w:rsid w:val="35FE5313"/>
    <w:rsid w:val="361502FC"/>
    <w:rsid w:val="36557DE0"/>
    <w:rsid w:val="366652B8"/>
    <w:rsid w:val="366854D4"/>
    <w:rsid w:val="368F480F"/>
    <w:rsid w:val="37585548"/>
    <w:rsid w:val="37D018E8"/>
    <w:rsid w:val="37F64539"/>
    <w:rsid w:val="38591578"/>
    <w:rsid w:val="385C6972"/>
    <w:rsid w:val="385F2910"/>
    <w:rsid w:val="38657F1D"/>
    <w:rsid w:val="3894435E"/>
    <w:rsid w:val="38AF2F46"/>
    <w:rsid w:val="38F65019"/>
    <w:rsid w:val="39477622"/>
    <w:rsid w:val="39777F08"/>
    <w:rsid w:val="39B5458C"/>
    <w:rsid w:val="3A2D6818"/>
    <w:rsid w:val="3A742699"/>
    <w:rsid w:val="3A90478F"/>
    <w:rsid w:val="3AF9494C"/>
    <w:rsid w:val="3B365BA1"/>
    <w:rsid w:val="3B381919"/>
    <w:rsid w:val="3B4E7D96"/>
    <w:rsid w:val="3CA32DC2"/>
    <w:rsid w:val="3CA63EDC"/>
    <w:rsid w:val="3D65451B"/>
    <w:rsid w:val="3DA908AC"/>
    <w:rsid w:val="3DE25B6C"/>
    <w:rsid w:val="3DFE0BF8"/>
    <w:rsid w:val="3E2D328B"/>
    <w:rsid w:val="3E4D7489"/>
    <w:rsid w:val="3E5720B6"/>
    <w:rsid w:val="3EB2553E"/>
    <w:rsid w:val="3EBC73E8"/>
    <w:rsid w:val="3EC94FA6"/>
    <w:rsid w:val="3F037A8F"/>
    <w:rsid w:val="3F4F0FDF"/>
    <w:rsid w:val="3F9966FE"/>
    <w:rsid w:val="3FDE0859"/>
    <w:rsid w:val="401D2E8B"/>
    <w:rsid w:val="402B1A4C"/>
    <w:rsid w:val="407A652F"/>
    <w:rsid w:val="40DA6FCE"/>
    <w:rsid w:val="410F0A26"/>
    <w:rsid w:val="41110C42"/>
    <w:rsid w:val="412C5A7C"/>
    <w:rsid w:val="41444309"/>
    <w:rsid w:val="41824C70"/>
    <w:rsid w:val="419B5E1D"/>
    <w:rsid w:val="41C31810"/>
    <w:rsid w:val="41EE2D31"/>
    <w:rsid w:val="42244224"/>
    <w:rsid w:val="423A5F76"/>
    <w:rsid w:val="426A513B"/>
    <w:rsid w:val="42E83C24"/>
    <w:rsid w:val="42F97BDF"/>
    <w:rsid w:val="43236A0A"/>
    <w:rsid w:val="4387343D"/>
    <w:rsid w:val="43D16466"/>
    <w:rsid w:val="43E2516D"/>
    <w:rsid w:val="451E56DB"/>
    <w:rsid w:val="45790B64"/>
    <w:rsid w:val="45C467DA"/>
    <w:rsid w:val="462E5DF2"/>
    <w:rsid w:val="465E0E4F"/>
    <w:rsid w:val="466E4440"/>
    <w:rsid w:val="471274C2"/>
    <w:rsid w:val="47961EA1"/>
    <w:rsid w:val="47A868D9"/>
    <w:rsid w:val="47C841F6"/>
    <w:rsid w:val="47CD33E9"/>
    <w:rsid w:val="480520F9"/>
    <w:rsid w:val="480A63EB"/>
    <w:rsid w:val="48362D3C"/>
    <w:rsid w:val="489932CB"/>
    <w:rsid w:val="48D81B3F"/>
    <w:rsid w:val="48D82045"/>
    <w:rsid w:val="490966A2"/>
    <w:rsid w:val="493A2D00"/>
    <w:rsid w:val="4970227E"/>
    <w:rsid w:val="49793828"/>
    <w:rsid w:val="4ACA3C0F"/>
    <w:rsid w:val="4B4E423F"/>
    <w:rsid w:val="4B7122DD"/>
    <w:rsid w:val="4B7C13AE"/>
    <w:rsid w:val="4B8A1D1C"/>
    <w:rsid w:val="4C0D0DB0"/>
    <w:rsid w:val="4C147838"/>
    <w:rsid w:val="4C1E06B7"/>
    <w:rsid w:val="4C1F06B5"/>
    <w:rsid w:val="4C5D11DF"/>
    <w:rsid w:val="4C663702"/>
    <w:rsid w:val="4CAF57B3"/>
    <w:rsid w:val="4D453A21"/>
    <w:rsid w:val="4D61085B"/>
    <w:rsid w:val="4D673998"/>
    <w:rsid w:val="4DAE5A6A"/>
    <w:rsid w:val="4E6F51FA"/>
    <w:rsid w:val="4E8A3DE2"/>
    <w:rsid w:val="4E8D38D2"/>
    <w:rsid w:val="4E8D742E"/>
    <w:rsid w:val="4EB26E94"/>
    <w:rsid w:val="4EC15329"/>
    <w:rsid w:val="4ECA0682"/>
    <w:rsid w:val="4F2873C9"/>
    <w:rsid w:val="4F293C72"/>
    <w:rsid w:val="4F511E31"/>
    <w:rsid w:val="4FA42C81"/>
    <w:rsid w:val="4FB21842"/>
    <w:rsid w:val="4FD712A8"/>
    <w:rsid w:val="4FE13ED5"/>
    <w:rsid w:val="4FE93FF0"/>
    <w:rsid w:val="508B5BEF"/>
    <w:rsid w:val="50E377D9"/>
    <w:rsid w:val="50EC0D83"/>
    <w:rsid w:val="50F639B0"/>
    <w:rsid w:val="515801C7"/>
    <w:rsid w:val="515E4352"/>
    <w:rsid w:val="51861CB7"/>
    <w:rsid w:val="51DD247A"/>
    <w:rsid w:val="522D172B"/>
    <w:rsid w:val="5244074B"/>
    <w:rsid w:val="529C68B6"/>
    <w:rsid w:val="52E006DA"/>
    <w:rsid w:val="532F6D06"/>
    <w:rsid w:val="533D7674"/>
    <w:rsid w:val="53D578AD"/>
    <w:rsid w:val="53E421E6"/>
    <w:rsid w:val="54C52F6D"/>
    <w:rsid w:val="54CB6F02"/>
    <w:rsid w:val="54D25F71"/>
    <w:rsid w:val="54DC23C8"/>
    <w:rsid w:val="54FC530D"/>
    <w:rsid w:val="551B39E5"/>
    <w:rsid w:val="5563713A"/>
    <w:rsid w:val="55807CEC"/>
    <w:rsid w:val="55AA6B17"/>
    <w:rsid w:val="55CF657E"/>
    <w:rsid w:val="5640122A"/>
    <w:rsid w:val="564023A4"/>
    <w:rsid w:val="565D1FD4"/>
    <w:rsid w:val="56674A08"/>
    <w:rsid w:val="569F0646"/>
    <w:rsid w:val="56C41E5B"/>
    <w:rsid w:val="56F03D6C"/>
    <w:rsid w:val="571C57F3"/>
    <w:rsid w:val="574134AB"/>
    <w:rsid w:val="57783371"/>
    <w:rsid w:val="58093FC9"/>
    <w:rsid w:val="58291826"/>
    <w:rsid w:val="59121E1B"/>
    <w:rsid w:val="598F04FE"/>
    <w:rsid w:val="59B91A1F"/>
    <w:rsid w:val="5A1B6236"/>
    <w:rsid w:val="5A7F21B4"/>
    <w:rsid w:val="5ADA7E9F"/>
    <w:rsid w:val="5AE747D8"/>
    <w:rsid w:val="5AEE74A6"/>
    <w:rsid w:val="5AF54CD9"/>
    <w:rsid w:val="5B430914"/>
    <w:rsid w:val="5B9E0ECC"/>
    <w:rsid w:val="5BC76675"/>
    <w:rsid w:val="5BF1724E"/>
    <w:rsid w:val="5C0E6052"/>
    <w:rsid w:val="5C1E1C0C"/>
    <w:rsid w:val="5C2C472A"/>
    <w:rsid w:val="5C427AAA"/>
    <w:rsid w:val="5C6E4D42"/>
    <w:rsid w:val="5C7B2FBB"/>
    <w:rsid w:val="5CA12A44"/>
    <w:rsid w:val="5D016AA0"/>
    <w:rsid w:val="5D1D4073"/>
    <w:rsid w:val="5D221689"/>
    <w:rsid w:val="5DBF512A"/>
    <w:rsid w:val="5DEC21C1"/>
    <w:rsid w:val="5ECD7C67"/>
    <w:rsid w:val="5EEE216B"/>
    <w:rsid w:val="5F08322C"/>
    <w:rsid w:val="5F6E26D0"/>
    <w:rsid w:val="5F750196"/>
    <w:rsid w:val="5FAB3BB8"/>
    <w:rsid w:val="60050815"/>
    <w:rsid w:val="60145C01"/>
    <w:rsid w:val="60634492"/>
    <w:rsid w:val="609A4358"/>
    <w:rsid w:val="60A66321"/>
    <w:rsid w:val="60F977C1"/>
    <w:rsid w:val="61613DE8"/>
    <w:rsid w:val="61642270"/>
    <w:rsid w:val="6198731C"/>
    <w:rsid w:val="61C55544"/>
    <w:rsid w:val="62015D11"/>
    <w:rsid w:val="62172CA1"/>
    <w:rsid w:val="622C2343"/>
    <w:rsid w:val="623779B1"/>
    <w:rsid w:val="626D15F8"/>
    <w:rsid w:val="62816E52"/>
    <w:rsid w:val="62832BCA"/>
    <w:rsid w:val="62C92CD3"/>
    <w:rsid w:val="63526744"/>
    <w:rsid w:val="636A4F2C"/>
    <w:rsid w:val="636C365E"/>
    <w:rsid w:val="63B55005"/>
    <w:rsid w:val="640146EE"/>
    <w:rsid w:val="6410048D"/>
    <w:rsid w:val="641206A9"/>
    <w:rsid w:val="64265F03"/>
    <w:rsid w:val="64281C7B"/>
    <w:rsid w:val="64852BFC"/>
    <w:rsid w:val="64923598"/>
    <w:rsid w:val="64C03C61"/>
    <w:rsid w:val="64C73242"/>
    <w:rsid w:val="64F14763"/>
    <w:rsid w:val="65136487"/>
    <w:rsid w:val="652E506F"/>
    <w:rsid w:val="65BF216B"/>
    <w:rsid w:val="65D26342"/>
    <w:rsid w:val="65D73958"/>
    <w:rsid w:val="65EA6B6B"/>
    <w:rsid w:val="660D4C01"/>
    <w:rsid w:val="66746D64"/>
    <w:rsid w:val="667E2026"/>
    <w:rsid w:val="673426E5"/>
    <w:rsid w:val="67650AF0"/>
    <w:rsid w:val="67851192"/>
    <w:rsid w:val="67FA56DC"/>
    <w:rsid w:val="6841330B"/>
    <w:rsid w:val="68C63810"/>
    <w:rsid w:val="68F4037D"/>
    <w:rsid w:val="692C5D69"/>
    <w:rsid w:val="69362744"/>
    <w:rsid w:val="69390410"/>
    <w:rsid w:val="696C43B8"/>
    <w:rsid w:val="69787200"/>
    <w:rsid w:val="69BE2739"/>
    <w:rsid w:val="6A026ACA"/>
    <w:rsid w:val="6A1D1B56"/>
    <w:rsid w:val="6AA06A0F"/>
    <w:rsid w:val="6AB909BA"/>
    <w:rsid w:val="6AF97ECD"/>
    <w:rsid w:val="6B1116BB"/>
    <w:rsid w:val="6B217424"/>
    <w:rsid w:val="6B480E55"/>
    <w:rsid w:val="6B543355"/>
    <w:rsid w:val="6B621F16"/>
    <w:rsid w:val="6B7632CC"/>
    <w:rsid w:val="6BBB0A9C"/>
    <w:rsid w:val="6BD80EE5"/>
    <w:rsid w:val="6C152874"/>
    <w:rsid w:val="6C3C4515"/>
    <w:rsid w:val="6C580C23"/>
    <w:rsid w:val="6C904861"/>
    <w:rsid w:val="6CF3094C"/>
    <w:rsid w:val="6D4D4500"/>
    <w:rsid w:val="6D7E46BA"/>
    <w:rsid w:val="6DB85E1E"/>
    <w:rsid w:val="6DDA2238"/>
    <w:rsid w:val="6DDB29E3"/>
    <w:rsid w:val="6E6C6C08"/>
    <w:rsid w:val="6E737F96"/>
    <w:rsid w:val="6E9A5523"/>
    <w:rsid w:val="6EB011EB"/>
    <w:rsid w:val="6EE40E94"/>
    <w:rsid w:val="6F1057E5"/>
    <w:rsid w:val="6F174DC6"/>
    <w:rsid w:val="6F2C3790"/>
    <w:rsid w:val="6F457B85"/>
    <w:rsid w:val="6F4B0F13"/>
    <w:rsid w:val="6F7B2807"/>
    <w:rsid w:val="6FAA5C3A"/>
    <w:rsid w:val="6FAA79E8"/>
    <w:rsid w:val="6FEE5677"/>
    <w:rsid w:val="702F613F"/>
    <w:rsid w:val="70333E81"/>
    <w:rsid w:val="7056191E"/>
    <w:rsid w:val="70AE52B6"/>
    <w:rsid w:val="70C67288"/>
    <w:rsid w:val="70D878CE"/>
    <w:rsid w:val="70EC5DDE"/>
    <w:rsid w:val="70ED4030"/>
    <w:rsid w:val="71137D38"/>
    <w:rsid w:val="718C1A9B"/>
    <w:rsid w:val="71AD7C63"/>
    <w:rsid w:val="71BE3C1E"/>
    <w:rsid w:val="721455EC"/>
    <w:rsid w:val="722515A8"/>
    <w:rsid w:val="72561A95"/>
    <w:rsid w:val="729D2012"/>
    <w:rsid w:val="729F135A"/>
    <w:rsid w:val="72A66B8C"/>
    <w:rsid w:val="72BB3CBA"/>
    <w:rsid w:val="72F0059F"/>
    <w:rsid w:val="72F83160"/>
    <w:rsid w:val="72FC307A"/>
    <w:rsid w:val="72FD0776"/>
    <w:rsid w:val="73012015"/>
    <w:rsid w:val="73611683"/>
    <w:rsid w:val="73626993"/>
    <w:rsid w:val="738148F5"/>
    <w:rsid w:val="73B01345"/>
    <w:rsid w:val="73CF3490"/>
    <w:rsid w:val="73F13E37"/>
    <w:rsid w:val="7439758C"/>
    <w:rsid w:val="74480A84"/>
    <w:rsid w:val="74AB66DC"/>
    <w:rsid w:val="74B11819"/>
    <w:rsid w:val="74B310ED"/>
    <w:rsid w:val="74C27582"/>
    <w:rsid w:val="74D67B95"/>
    <w:rsid w:val="74E5550E"/>
    <w:rsid w:val="756D573F"/>
    <w:rsid w:val="75EF4384"/>
    <w:rsid w:val="7601057E"/>
    <w:rsid w:val="764B35A7"/>
    <w:rsid w:val="76A96C4B"/>
    <w:rsid w:val="771340C5"/>
    <w:rsid w:val="772B7660"/>
    <w:rsid w:val="774424D0"/>
    <w:rsid w:val="77577B1B"/>
    <w:rsid w:val="775D3592"/>
    <w:rsid w:val="77ED2B68"/>
    <w:rsid w:val="780B56E4"/>
    <w:rsid w:val="786848E4"/>
    <w:rsid w:val="78972AD3"/>
    <w:rsid w:val="79416DF5"/>
    <w:rsid w:val="79C67B14"/>
    <w:rsid w:val="79D55FA9"/>
    <w:rsid w:val="79EE0E19"/>
    <w:rsid w:val="7A0128FA"/>
    <w:rsid w:val="7A3F5C2C"/>
    <w:rsid w:val="7A721A4A"/>
    <w:rsid w:val="7A7632E8"/>
    <w:rsid w:val="7A94376E"/>
    <w:rsid w:val="7B474C85"/>
    <w:rsid w:val="7B5573A2"/>
    <w:rsid w:val="7B5F1FCE"/>
    <w:rsid w:val="7B7D06A6"/>
    <w:rsid w:val="7BC260B9"/>
    <w:rsid w:val="7BE97AEA"/>
    <w:rsid w:val="7BF81ADB"/>
    <w:rsid w:val="7C1F46EF"/>
    <w:rsid w:val="7C6D071B"/>
    <w:rsid w:val="7C76298C"/>
    <w:rsid w:val="7C857813"/>
    <w:rsid w:val="7CE81B50"/>
    <w:rsid w:val="7D742A1B"/>
    <w:rsid w:val="7DA97531"/>
    <w:rsid w:val="7DAB36AB"/>
    <w:rsid w:val="7DC12ACC"/>
    <w:rsid w:val="7E266DD3"/>
    <w:rsid w:val="7E4454AB"/>
    <w:rsid w:val="7E576F8D"/>
    <w:rsid w:val="7E70004F"/>
    <w:rsid w:val="7EB30231"/>
    <w:rsid w:val="7F545789"/>
    <w:rsid w:val="7FA36202"/>
    <w:rsid w:val="7FA75CF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2699</Words>
  <Characters>2788</Characters>
  <Lines>0</Lines>
  <Paragraphs>0</Paragraphs>
  <TotalTime>0</TotalTime>
  <ScaleCrop>false</ScaleCrop>
  <LinksUpToDate>false</LinksUpToDate>
  <CharactersWithSpaces>3075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2025-05-27T09:38:00Z</cp:lastPrinted>
  <dcterms:modified xsi:type="dcterms:W3CDTF">2025-07-04T08:13:32Z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