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129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遂宁市安居区梧桐路片区城市污水管网整治及附属设施提升项目／遂宁市安居区城南旧城片区城市排水防涝整治建设项目劳务工程（2标段）</w:t>
      </w:r>
    </w:p>
    <w:p w14:paraId="22B9B7C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6ED875C4">
      <w:pPr>
        <w:pStyle w:val="4"/>
        <w:spacing w:after="0" w:line="240" w:lineRule="auto"/>
        <w:ind w:firstLine="0" w:firstLineChars="0"/>
        <w:jc w:val="center"/>
        <w:rPr>
          <w:color w:val="auto"/>
          <w:highlight w:val="none"/>
          <w:u w:val="none"/>
        </w:rPr>
      </w:pPr>
    </w:p>
    <w:p w14:paraId="4BF337CF">
      <w:pPr>
        <w:pStyle w:val="4"/>
        <w:spacing w:after="0" w:line="240" w:lineRule="auto"/>
        <w:ind w:firstLine="0" w:firstLineChars="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ascii="宋体" w:hAnsi="宋体" w:eastAsia="宋体" w:cs="宋体"/>
          <w:color w:val="auto"/>
          <w:sz w:val="24"/>
          <w:szCs w:val="24"/>
          <w:highlight w:val="none"/>
          <w:u w:val="none"/>
          <w:lang w:eastAsia="zh-CN"/>
        </w:rPr>
        <w:t>：</w:t>
      </w:r>
    </w:p>
    <w:p w14:paraId="1D3F2DE7">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eastAsia="zh-CN"/>
        </w:rPr>
        <w:t>由我司</w:t>
      </w:r>
      <w:r>
        <w:rPr>
          <w:rFonts w:hint="eastAsia" w:ascii="宋体" w:hAnsi="宋体" w:cs="Times New Roman" w:eastAsiaTheme="minorEastAsia"/>
          <w:b w:val="0"/>
          <w:bCs/>
          <w:kern w:val="0"/>
          <w:sz w:val="24"/>
          <w:szCs w:val="24"/>
          <w:lang w:val="en-US" w:eastAsia="zh-CN"/>
        </w:rPr>
        <w:t>施工承建</w:t>
      </w:r>
      <w:r>
        <w:rPr>
          <w:rFonts w:hint="eastAsia" w:ascii="宋体" w:hAnsi="宋体" w:cs="Times New Roman" w:eastAsiaTheme="minorEastAsia"/>
          <w:b w:val="0"/>
          <w:bCs/>
          <w:kern w:val="0"/>
          <w:sz w:val="24"/>
          <w:szCs w:val="24"/>
          <w:lang w:eastAsia="zh-CN"/>
        </w:rPr>
        <w:t>的</w:t>
      </w:r>
      <w:r>
        <w:rPr>
          <w:rFonts w:hint="eastAsia" w:ascii="宋体" w:hAnsi="宋体" w:cs="Times New Roman" w:eastAsiaTheme="minorEastAsia"/>
          <w:b w:val="0"/>
          <w:bCs/>
          <w:kern w:val="0"/>
          <w:sz w:val="24"/>
          <w:szCs w:val="24"/>
          <w:lang w:val="en-US" w:eastAsia="zh-CN"/>
        </w:rPr>
        <w:t xml:space="preserve">遂宁市安居区梧桐路片区城市污水管网整治及附属设施提升项目／遂宁市安居区城南旧城片区城市排水防涝整治建设项目 </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val="0"/>
          <w:bCs/>
          <w:kern w:val="0"/>
          <w:sz w:val="24"/>
          <w:szCs w:val="24"/>
          <w:lang w:val="en-US" w:eastAsia="zh-CN"/>
        </w:rPr>
        <w:t>劳务</w:t>
      </w:r>
      <w:r>
        <w:rPr>
          <w:rFonts w:hint="eastAsia" w:ascii="宋体" w:hAnsi="宋体" w:cs="Times New Roman" w:eastAsiaTheme="minorEastAsia"/>
          <w:b w:val="0"/>
          <w:bCs/>
          <w:kern w:val="0"/>
          <w:sz w:val="24"/>
          <w:szCs w:val="24"/>
          <w:lang w:eastAsia="zh-CN"/>
        </w:rPr>
        <w:t>分包，现诚邀遂宁市鹏安投资有限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一、招标基本情况及范围</w:t>
      </w:r>
    </w:p>
    <w:p w14:paraId="6761DDED">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工程概况：①遂宁市安居区梧桐路片区城市污水管网整治及附属设施提升项目：对梧桐北路全线路灯安装、交安标志标线及信号灯和监控设备进行恢复，对梧桐南路全线约中央隔离栏以及节点信号灯和监控设备进行恢复；②遂宁市安居区城南旧城片区城市排水防涝整治建设项目：新建雨水管道约3.4km，管径DN300-DN1500。新建排水管道约6.5km，管径为d300-d1000。恢复道路长度约为5.6km，对道路的附属配套设施进行恢复，对道路周边存在混流情况的区域进行治理。</w:t>
      </w:r>
    </w:p>
    <w:p w14:paraId="07629A4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2.招标范围：遂宁市安居区梧桐路片区城市污水管网整治及附属设施提升项目／遂宁市安居区城南旧城片区城市排水防涝整治建设项目分两个标段进行招标，本次招标范围为2标段：</w:t>
      </w:r>
      <w:r>
        <w:rPr>
          <w:rFonts w:hint="default"/>
          <w:sz w:val="24"/>
          <w:szCs w:val="24"/>
          <w:lang w:val="en-US" w:eastAsia="zh-CN"/>
        </w:rPr>
        <w:t>遂宁市安居区城南旧城片区城市排水防涝整治建设项目（解元路、兴安北路、1号路、2号路、3号路、4号路、5号路、江边道路、交通街、混节点、厂区、截污干管）</w:t>
      </w:r>
      <w:r>
        <w:rPr>
          <w:rFonts w:hint="eastAsia"/>
          <w:sz w:val="24"/>
          <w:szCs w:val="24"/>
          <w:lang w:val="en-US" w:eastAsia="zh-CN"/>
        </w:rPr>
        <w:t>；</w:t>
      </w:r>
      <w:r>
        <w:rPr>
          <w:rFonts w:hint="default"/>
          <w:sz w:val="24"/>
          <w:szCs w:val="24"/>
          <w:lang w:val="en-US" w:eastAsia="zh-CN"/>
        </w:rPr>
        <w:t>遂宁市安居区梧桐路片区城市污水管网整治及附属设施</w:t>
      </w:r>
      <w:r>
        <w:rPr>
          <w:rFonts w:hint="default" w:ascii="宋体" w:hAnsi="宋体" w:cs="Times New Roman" w:eastAsiaTheme="minorEastAsia"/>
          <w:b w:val="0"/>
          <w:bCs/>
          <w:kern w:val="0"/>
          <w:sz w:val="24"/>
          <w:szCs w:val="24"/>
          <w:lang w:val="en-US" w:eastAsia="zh-CN"/>
        </w:rPr>
        <w:t>提升项目（梧桐南路、解元路、兴安北路、1号路、2号路、3号路、4号路、5号路、江边道路）</w:t>
      </w:r>
      <w:r>
        <w:rPr>
          <w:rFonts w:hint="eastAsia" w:ascii="宋体" w:hAnsi="宋体" w:cs="Times New Roman" w:eastAsiaTheme="minorEastAsia"/>
          <w:b w:val="0"/>
          <w:bCs/>
          <w:kern w:val="0"/>
          <w:sz w:val="24"/>
          <w:szCs w:val="24"/>
          <w:lang w:val="en-US" w:eastAsia="zh-CN"/>
        </w:rPr>
        <w:t>，控制价为5658456.58元。</w:t>
      </w:r>
    </w:p>
    <w:p w14:paraId="50E25C3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以上招标范围内包含人工费、机械费、措施费、劳保费、管理费、利润、辅材费、用工人员保险费、税金、安全文明施工费、规费等一切费用。具体内容详招标清单及图纸。</w:t>
      </w:r>
    </w:p>
    <w:p w14:paraId="1D92F5FB">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3.施工工期：以我司通知进场为准，工期为540天。(若工期延期则分包工期顺延）。</w:t>
      </w:r>
    </w:p>
    <w:p w14:paraId="3D27E07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4.施工要求：满足施工图纸及现行相关规范要求，经相关部门验收合格。</w:t>
      </w:r>
    </w:p>
    <w:p w14:paraId="3F2D31DB">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二、劳务资质及报价</w:t>
      </w:r>
      <w:r>
        <w:rPr>
          <w:rFonts w:hint="eastAsia" w:ascii="宋体" w:hAnsi="宋体" w:cs="Times New Roman" w:eastAsiaTheme="minorEastAsia"/>
          <w:b/>
          <w:bCs w:val="0"/>
          <w:kern w:val="0"/>
          <w:sz w:val="24"/>
          <w:szCs w:val="24"/>
          <w:lang w:eastAsia="zh-CN"/>
        </w:rPr>
        <w:t>要求</w:t>
      </w:r>
      <w:r>
        <w:rPr>
          <w:rFonts w:hint="eastAsia" w:ascii="宋体" w:hAnsi="宋体" w:cs="Times New Roman" w:eastAsiaTheme="minorEastAsia"/>
          <w:b/>
          <w:bCs w:val="0"/>
          <w:kern w:val="0"/>
          <w:sz w:val="24"/>
          <w:szCs w:val="24"/>
          <w:lang w:eastAsia="zh-CN"/>
        </w:rPr>
        <w:tab/>
      </w:r>
    </w:p>
    <w:p w14:paraId="0C0DA309">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1.</w:t>
      </w:r>
      <w:r>
        <w:rPr>
          <w:rFonts w:hint="eastAsia" w:ascii="宋体" w:hAnsi="宋体" w:cs="Times New Roman" w:eastAsiaTheme="minorEastAsia"/>
          <w:b/>
          <w:bCs w:val="0"/>
          <w:kern w:val="0"/>
          <w:sz w:val="24"/>
          <w:szCs w:val="24"/>
          <w:lang w:eastAsia="zh-CN"/>
        </w:rPr>
        <w:t>资质要求：</w:t>
      </w:r>
    </w:p>
    <w:p w14:paraId="45AFFDD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①</w:t>
      </w: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firstLine="482" w:firstLine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E2897CC">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w:t>
      </w:r>
      <w:r>
        <w:rPr>
          <w:rFonts w:hint="eastAsia" w:ascii="宋体" w:hAnsi="宋体" w:cs="Times New Roman" w:eastAsiaTheme="minorEastAsia"/>
          <w:b w:val="0"/>
          <w:bCs/>
          <w:kern w:val="0"/>
          <w:sz w:val="24"/>
          <w:szCs w:val="24"/>
          <w:lang w:eastAsia="zh-CN"/>
        </w:rPr>
        <w:t>须具备建设行政主管部门核发的施工劳务企业资质（施工劳务不分等级或建筑业企业施工劳务备案证书或建筑专业作业企业工种分类证书），具备有效的安全生产许可证。</w:t>
      </w:r>
    </w:p>
    <w:p w14:paraId="79258515">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③</w:t>
      </w:r>
      <w:r>
        <w:rPr>
          <w:rFonts w:hint="eastAsia" w:ascii="宋体" w:hAnsi="宋体" w:cs="Times New Roman" w:eastAsiaTheme="minorEastAsia"/>
          <w:b w:val="0"/>
          <w:bCs/>
          <w:kern w:val="0"/>
          <w:sz w:val="24"/>
          <w:szCs w:val="24"/>
          <w:lang w:eastAsia="zh-CN"/>
        </w:rPr>
        <w:t>技术</w:t>
      </w:r>
      <w:r>
        <w:rPr>
          <w:rFonts w:hint="eastAsia" w:ascii="宋体" w:hAnsi="宋体" w:cs="Times New Roman" w:eastAsiaTheme="minorEastAsia"/>
          <w:b w:val="0"/>
          <w:bCs/>
          <w:kern w:val="0"/>
          <w:sz w:val="24"/>
          <w:szCs w:val="24"/>
          <w:lang w:val="en-US" w:eastAsia="zh-CN"/>
        </w:rPr>
        <w:t>及人员</w:t>
      </w:r>
      <w:r>
        <w:rPr>
          <w:rFonts w:hint="eastAsia" w:ascii="宋体" w:hAnsi="宋体" w:cs="Times New Roman" w:eastAsiaTheme="minorEastAsia"/>
          <w:b w:val="0"/>
          <w:bCs/>
          <w:kern w:val="0"/>
          <w:sz w:val="24"/>
          <w:szCs w:val="24"/>
          <w:lang w:eastAsia="zh-CN"/>
        </w:rPr>
        <w:t>要求：具有履行合同所必需的设备和专业技术能力（包含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管理人员1人，</w:t>
      </w:r>
      <w:r>
        <w:rPr>
          <w:rFonts w:hint="eastAsia" w:ascii="宋体" w:hAnsi="宋体" w:cs="Times New Roman" w:eastAsiaTheme="minorEastAsia"/>
          <w:b w:val="0"/>
          <w:bCs/>
          <w:kern w:val="0"/>
          <w:sz w:val="24"/>
          <w:szCs w:val="24"/>
          <w:lang w:val="en-US" w:eastAsia="zh-CN"/>
        </w:rPr>
        <w:t>劳务造价专员1名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w:t>
      </w:r>
      <w:r>
        <w:rPr>
          <w:rFonts w:hint="eastAsia" w:ascii="宋体" w:hAnsi="宋体" w:cs="Times New Roman" w:eastAsiaTheme="minorEastAsia"/>
          <w:b w:val="0"/>
          <w:bCs/>
          <w:kern w:val="0"/>
          <w:sz w:val="24"/>
          <w:szCs w:val="24"/>
          <w:highlight w:val="none"/>
          <w:lang w:val="en-US" w:eastAsia="zh-CN"/>
        </w:rPr>
        <w:t>（劳务员、造价专员、材料员三个岗位可一人兼2个岗位（最少2人），其他管理岗位不得兼职）</w:t>
      </w:r>
      <w:r>
        <w:rPr>
          <w:rFonts w:hint="eastAsia" w:ascii="宋体" w:hAnsi="宋体" w:cs="Times New Roman" w:eastAsiaTheme="minorEastAsia"/>
          <w:b w:val="0"/>
          <w:bCs/>
          <w:kern w:val="0"/>
          <w:sz w:val="24"/>
          <w:szCs w:val="24"/>
          <w:lang w:val="en-US" w:eastAsia="zh-CN"/>
        </w:rPr>
        <w:t>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p>
    <w:p w14:paraId="6D457CAE">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2.</w:t>
      </w:r>
      <w:r>
        <w:rPr>
          <w:rFonts w:hint="eastAsia" w:ascii="宋体" w:hAnsi="宋体" w:cs="Times New Roman" w:eastAsiaTheme="minorEastAsia"/>
          <w:b/>
          <w:bCs w:val="0"/>
          <w:kern w:val="0"/>
          <w:sz w:val="24"/>
          <w:szCs w:val="24"/>
          <w:lang w:eastAsia="zh-CN"/>
        </w:rPr>
        <w:t>报价要求：</w:t>
      </w:r>
    </w:p>
    <w:p w14:paraId="06F7A6F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控制</w:t>
      </w:r>
      <w:r>
        <w:rPr>
          <w:rFonts w:hint="eastAsia" w:ascii="宋体" w:hAnsi="宋体" w:cs="Times New Roman" w:eastAsiaTheme="minorEastAsia"/>
          <w:b w:val="0"/>
          <w:bCs/>
          <w:kern w:val="0"/>
          <w:sz w:val="24"/>
          <w:szCs w:val="24"/>
          <w:lang w:eastAsia="zh-CN"/>
        </w:rPr>
        <w:t>价</w:t>
      </w:r>
      <w:r>
        <w:rPr>
          <w:rFonts w:hint="eastAsia" w:ascii="宋体" w:hAnsi="宋体" w:cs="Times New Roman" w:eastAsiaTheme="minorEastAsia"/>
          <w:b w:val="0"/>
          <w:bCs/>
          <w:kern w:val="0"/>
          <w:sz w:val="24"/>
          <w:szCs w:val="24"/>
          <w:lang w:val="en-US" w:eastAsia="zh-CN"/>
        </w:rPr>
        <w:t>为：5658456.58元(大写：伍佰陆拾伍万捌仟肆佰伍拾陆元伍角捌分），</w:t>
      </w:r>
      <w:r>
        <w:rPr>
          <w:rFonts w:hint="eastAsia" w:ascii="宋体" w:hAnsi="宋体" w:cs="Times New Roman" w:eastAsiaTheme="minorEastAsia"/>
          <w:b w:val="0"/>
          <w:bCs/>
          <w:kern w:val="0"/>
          <w:sz w:val="24"/>
          <w:szCs w:val="24"/>
          <w:lang w:val="en-US" w:eastAsia="zh-CN"/>
        </w:rPr>
        <w:t>以清单总价报下浮比例（详附件4），下浮率应高于12%,且下浮率应小于18%，下浮率≤12%或≥18%视为废标</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136A443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工程进度款支付：</w:t>
      </w:r>
      <w:r>
        <w:rPr>
          <w:rFonts w:hint="eastAsia" w:ascii="宋体" w:hAnsi="宋体" w:eastAsia="宋体" w:cs="宋体"/>
          <w:b/>
          <w:bCs/>
          <w:color w:val="auto"/>
          <w:sz w:val="24"/>
          <w:szCs w:val="24"/>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sz w:val="24"/>
          <w:szCs w:val="24"/>
          <w:highlight w:val="none"/>
        </w:rPr>
        <w:t>新增、变更工程按</w:t>
      </w:r>
      <w:r>
        <w:rPr>
          <w:rFonts w:hint="eastAsia" w:ascii="宋体" w:hAnsi="宋体" w:eastAsia="宋体" w:cs="宋体"/>
          <w:b/>
          <w:bCs/>
          <w:color w:val="auto"/>
          <w:sz w:val="24"/>
          <w:szCs w:val="24"/>
          <w:highlight w:val="none"/>
          <w:lang w:val="en-US" w:eastAsia="zh-CN"/>
        </w:rPr>
        <w:t>业主</w:t>
      </w:r>
      <w:r>
        <w:rPr>
          <w:rFonts w:hint="eastAsia" w:ascii="宋体" w:hAnsi="宋体" w:eastAsia="宋体" w:cs="宋体"/>
          <w:b/>
          <w:bCs/>
          <w:color w:val="auto"/>
          <w:sz w:val="24"/>
          <w:szCs w:val="24"/>
          <w:highlight w:val="none"/>
        </w:rPr>
        <w:t>审定的已完成产值的工程造价50%进行拨付，剩余部分待审计结束后支付至</w:t>
      </w:r>
      <w:r>
        <w:rPr>
          <w:rFonts w:hint="eastAsia" w:ascii="宋体" w:hAnsi="宋体" w:cs="Times New Roman" w:eastAsiaTheme="minorEastAsia"/>
          <w:b/>
          <w:bCs w:val="0"/>
          <w:kern w:val="0"/>
          <w:sz w:val="24"/>
          <w:szCs w:val="24"/>
          <w:lang w:val="en-US" w:eastAsia="zh-CN"/>
        </w:rPr>
        <w:t>结算总价的 97%，留3%作工程质量保修金。</w:t>
      </w:r>
    </w:p>
    <w:p w14:paraId="786CA2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4.中选单位确定方式：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本次招标采用“综合择优选取法”评审，根据报价、施工方案、人员配置等综合比较择优确定本项目合作单位。（详附表3）</w:t>
      </w:r>
    </w:p>
    <w:p w14:paraId="23C60EED">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综合评分法评标步骤：由评标小组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55A580C2">
      <w:pPr>
        <w:widowControl/>
        <w:numPr>
          <w:ilvl w:val="0"/>
          <w:numId w:val="1"/>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定标由招标人依据评标报告确认拟中标劳务单位，原则上应当确定排名第一的中标候选人为拟中标劳务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51167685">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对累计两次被取消中标资格的中标单位，将予以清出劳务库处理。</w:t>
      </w:r>
    </w:p>
    <w:p w14:paraId="76B527D1">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中标单位需在中标公示期后5个工作日内缴纳5万元履约保证金。</w:t>
      </w:r>
    </w:p>
    <w:p w14:paraId="0CF9CD12">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6.公示</w:t>
      </w:r>
    </w:p>
    <w:p w14:paraId="29569258">
      <w:pPr>
        <w:widowControl/>
        <w:numPr>
          <w:ilvl w:val="0"/>
          <w:numId w:val="2"/>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审查结束后在鹏安公司官网予以公示拟中标单位，公示期3天。</w:t>
      </w:r>
    </w:p>
    <w:p w14:paraId="53EDF6EA">
      <w:pPr>
        <w:widowControl/>
        <w:numPr>
          <w:ilvl w:val="0"/>
          <w:numId w:val="2"/>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lang w:val="en-US" w:eastAsia="zh-CN"/>
        </w:rPr>
        <w:t>投标人或者其他利害关系人对评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工程费用按中标单价暂估，最终按业主审计结算价及审定工程量结合中标下浮率进行工程结算。工程费用包含人工费、机械费、措施费、劳保费、管理费、利润、辅材费、用工人员保险费、税金、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②变更约定: 变更的工程费用经业主认可的工程结算造价下浮N%办理工程结算 (N为该分包的中标下浮率点)，结算价格中含人工费、机械费、措施费、劳保费、管理费、利润、辅材费用、用工人员保险费、税金等一切费用。</w:t>
      </w:r>
    </w:p>
    <w:p w14:paraId="7B871261">
      <w:pPr>
        <w:pStyle w:val="4"/>
        <w:widowControl/>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cs="Times New Roman" w:eastAsiaTheme="minorEastAsia"/>
          <w:b w:val="0"/>
          <w:bCs/>
          <w:kern w:val="0"/>
          <w:sz w:val="24"/>
          <w:szCs w:val="24"/>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6D4C579A">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三、标书要求及组成：</w:t>
      </w:r>
    </w:p>
    <w:p w14:paraId="7485D541">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1.标书要求</w:t>
      </w:r>
    </w:p>
    <w:p w14:paraId="7E1A01F0">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投标文件封面需注明项目名称，公司法人或授权人签字盖章，注明时间；</w:t>
      </w:r>
    </w:p>
    <w:p w14:paraId="4A531562">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标书密封：投标文件用文件袋装好，在文件袋封面上写明投标项目名称，投标公司全称、联系人及联系方式，加盖投标人公章，并在封口处加盖投标人公章或贴上投标人专用封条，确保标书不被篡改或泄露；</w:t>
      </w:r>
    </w:p>
    <w:p w14:paraId="115A56E5">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投标文件中所有资料需加盖鲜章。</w:t>
      </w:r>
    </w:p>
    <w:p w14:paraId="30F8A98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2.投标文件组成要求</w:t>
      </w:r>
    </w:p>
    <w:p w14:paraId="5CCB1595">
      <w:pPr>
        <w:pStyle w:val="4"/>
        <w:numPr>
          <w:ilvl w:val="0"/>
          <w:numId w:val="0"/>
        </w:numPr>
        <w:ind w:left="480" w:leftChars="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lang w:val="en-US" w:eastAsia="zh-CN"/>
        </w:rPr>
        <w:t>①</w:t>
      </w:r>
      <w:r>
        <w:rPr>
          <w:rFonts w:hint="eastAsia" w:ascii="宋体" w:hAnsi="宋体" w:eastAsia="宋体" w:cs="宋体"/>
          <w:color w:val="auto"/>
          <w:sz w:val="24"/>
          <w:szCs w:val="24"/>
          <w:highlight w:val="none"/>
          <w:u w:val="none"/>
        </w:rPr>
        <w:t>项目报价表</w:t>
      </w:r>
      <w:r>
        <w:rPr>
          <w:rFonts w:hint="eastAsia" w:ascii="宋体" w:hAnsi="宋体" w:eastAsia="宋体" w:cs="宋体"/>
          <w:color w:val="auto"/>
          <w:sz w:val="24"/>
          <w:szCs w:val="24"/>
          <w:highlight w:val="none"/>
          <w:u w:val="none"/>
          <w:lang w:eastAsia="zh-CN"/>
        </w:rPr>
        <w:t>；</w:t>
      </w:r>
    </w:p>
    <w:p w14:paraId="6A9F0151">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②承诺书；</w:t>
      </w:r>
    </w:p>
    <w:p w14:paraId="7147F3D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③项目人员配置表；</w:t>
      </w:r>
    </w:p>
    <w:p w14:paraId="1CCBC5F6">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④施工方案（详附件三：综合评分表）；</w:t>
      </w:r>
    </w:p>
    <w:p w14:paraId="42E8E1B7">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⑤综合评分分值构成（100分）</w:t>
      </w:r>
    </w:p>
    <w:p w14:paraId="3A501EE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95A0467">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各报名单位严格按上述要求制作标书，若投标人未按招标文件的要求提供资料，或未对招标文件做出实质性响应，将导致投标文件被视为无效。</w:t>
      </w:r>
    </w:p>
    <w:p w14:paraId="3F9295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四、以下情形之一招标人直接取消中标单位中标资格</w:t>
      </w:r>
    </w:p>
    <w:p w14:paraId="7E540F2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①中标人在中标通知书发出30日内，中标人无正当理由不与招标人订立合同；</w:t>
      </w:r>
    </w:p>
    <w:p w14:paraId="16B9B8B8">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②中标人在签订合同时向招标人提出附加条件；</w:t>
      </w:r>
    </w:p>
    <w:p w14:paraId="5EFE89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③经核查，存在弄虚作假、借资质、挂靠、围标、串标等违法违规行为的；</w:t>
      </w:r>
    </w:p>
    <w:p w14:paraId="06CC8FF0">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④投标人进行虚假、恶意投诉，阻碍招投标活动的正常进行的；</w:t>
      </w:r>
    </w:p>
    <w:p w14:paraId="772B48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⑤法律法规规定的其他情形。</w:t>
      </w:r>
    </w:p>
    <w:p w14:paraId="359AB274">
      <w:pPr>
        <w:pStyle w:val="4"/>
        <w:widowControl/>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上午11</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中标单位不同项目不同标段人员配置不得重复，否则视为自动放弃，则由第二顺位单位中标。中选单位相同项目不同项目人员配置重复的，由招标人确认中标标段，另一标段由第二顺位单位中标。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32CF895D">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附件：</w:t>
      </w:r>
    </w:p>
    <w:p w14:paraId="780BB929">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1.承诺书；</w:t>
      </w:r>
    </w:p>
    <w:p w14:paraId="3D3AACC3">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2.项目人员岗位配置一览表；</w:t>
      </w:r>
    </w:p>
    <w:p w14:paraId="01E39A5C">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3.综合评分表；</w:t>
      </w:r>
    </w:p>
    <w:p w14:paraId="4EED8BD0">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4.项目报价表；</w:t>
      </w:r>
      <w:bookmarkStart w:id="0" w:name="_GoBack"/>
      <w:bookmarkEnd w:id="0"/>
    </w:p>
    <w:p w14:paraId="1E37EDB5">
      <w:pPr>
        <w:widowControl/>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Times New Roman" w:eastAsiaTheme="minorEastAsia"/>
          <w:b w:val="0"/>
          <w:bCs/>
          <w:kern w:val="0"/>
          <w:sz w:val="24"/>
          <w:szCs w:val="24"/>
          <w:lang w:val="en-US" w:eastAsia="zh-CN"/>
        </w:rPr>
        <w:t>5.项目清单。</w:t>
      </w: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遂宁市鹏安投资有限公司</w:t>
      </w:r>
      <w:r>
        <w:rPr>
          <w:rFonts w:hint="eastAsia" w:ascii="宋体" w:hAnsi="宋体" w:eastAsia="宋体" w:cs="宋体"/>
          <w:color w:val="auto"/>
          <w:sz w:val="24"/>
          <w:szCs w:val="24"/>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宋体" w:hAnsi="宋体" w:eastAsia="宋体" w:cs="宋体"/>
          <w:color w:val="auto"/>
          <w:sz w:val="24"/>
          <w:szCs w:val="24"/>
          <w:highlight w:val="none"/>
          <w:lang w:val="en-US" w:eastAsia="zh-CN"/>
        </w:rPr>
        <w:t xml:space="preserve">                                              2025</w:t>
      </w:r>
      <w:r>
        <w:rPr>
          <w:rFonts w:hint="eastAsia" w:ascii="宋体" w:hAnsi="宋体" w:eastAsia="宋体" w:cs="宋体"/>
          <w:b w:val="0"/>
          <w:bCs w:val="0"/>
          <w:color w:val="auto"/>
          <w:sz w:val="24"/>
          <w:szCs w:val="24"/>
          <w:highlight w:val="none"/>
          <w:lang w:val="en-US" w:eastAsia="zh-CN"/>
        </w:rPr>
        <w:t>年7月2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4"/>
        <w:numPr>
          <w:ilvl w:val="0"/>
          <w:numId w:val="5"/>
        </w:numPr>
        <w:ind w:left="0" w:leftChars="0" w:firstLine="480" w:firstLineChars="0"/>
        <w:rPr>
          <w:b w:val="0"/>
          <w:color w:val="auto"/>
          <w:highlight w:val="none"/>
        </w:rPr>
      </w:pPr>
      <w:r>
        <w:rPr>
          <w:color w:val="auto"/>
          <w:highlight w:val="none"/>
        </w:rPr>
        <w:t>规划：制定详细施工方案，确保按期完成。</w:t>
      </w:r>
    </w:p>
    <w:p w14:paraId="4CDB2DFB">
      <w:pPr>
        <w:pStyle w:val="4"/>
        <w:numPr>
          <w:ilvl w:val="0"/>
          <w:numId w:val="5"/>
        </w:numPr>
        <w:ind w:left="0" w:leftChars="0" w:firstLine="480" w:firstLineChars="0"/>
        <w:rPr>
          <w:b w:val="0"/>
          <w:color w:val="auto"/>
          <w:highlight w:val="none"/>
        </w:rPr>
      </w:pPr>
      <w:r>
        <w:rPr>
          <w:color w:val="auto"/>
          <w:highlight w:val="none"/>
        </w:rPr>
        <w:t>技术：采用先进技术，提高施工效率。</w:t>
      </w:r>
    </w:p>
    <w:p w14:paraId="7F480100">
      <w:pPr>
        <w:pStyle w:val="4"/>
        <w:numPr>
          <w:ilvl w:val="0"/>
          <w:numId w:val="5"/>
        </w:numPr>
        <w:ind w:left="0" w:leftChars="0" w:firstLine="480" w:firstLineChars="0"/>
        <w:rPr>
          <w:b w:val="0"/>
          <w:color w:val="auto"/>
          <w:highlight w:val="none"/>
        </w:rPr>
      </w:pPr>
      <w:r>
        <w:rPr>
          <w:color w:val="auto"/>
          <w:highlight w:val="none"/>
        </w:rPr>
        <w:t>安全：严格安全保障措施，确保人员和设备安全。</w:t>
      </w:r>
    </w:p>
    <w:p w14:paraId="6A525B7A">
      <w:pPr>
        <w:pStyle w:val="4"/>
        <w:numPr>
          <w:ilvl w:val="0"/>
          <w:numId w:val="5"/>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4"/>
        <w:numPr>
          <w:ilvl w:val="0"/>
          <w:numId w:val="6"/>
        </w:numPr>
        <w:ind w:left="0" w:leftChars="0" w:firstLine="480" w:firstLineChars="0"/>
        <w:rPr>
          <w:b w:val="0"/>
          <w:color w:val="auto"/>
          <w:highlight w:val="none"/>
        </w:rPr>
      </w:pPr>
      <w:r>
        <w:rPr>
          <w:color w:val="auto"/>
          <w:highlight w:val="none"/>
        </w:rPr>
        <w:t>资质：具备相应劳务分包资质。</w:t>
      </w:r>
    </w:p>
    <w:p w14:paraId="3FA0527E">
      <w:pPr>
        <w:pStyle w:val="4"/>
        <w:numPr>
          <w:ilvl w:val="0"/>
          <w:numId w:val="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4"/>
        <w:numPr>
          <w:ilvl w:val="0"/>
          <w:numId w:val="6"/>
        </w:numPr>
        <w:ind w:left="0" w:leftChars="0" w:firstLine="480" w:firstLineChars="0"/>
        <w:rPr>
          <w:b w:val="0"/>
          <w:color w:val="auto"/>
          <w:highlight w:val="none"/>
        </w:rPr>
      </w:pPr>
      <w:r>
        <w:rPr>
          <w:color w:val="auto"/>
          <w:highlight w:val="none"/>
        </w:rPr>
        <w:t>材料：按合同要求采购材料，确保质量。</w:t>
      </w:r>
    </w:p>
    <w:p w14:paraId="4595829A">
      <w:pPr>
        <w:pStyle w:val="4"/>
        <w:numPr>
          <w:ilvl w:val="0"/>
          <w:numId w:val="6"/>
        </w:numPr>
        <w:ind w:left="0" w:leftChars="0" w:firstLine="480" w:firstLineChars="0"/>
        <w:rPr>
          <w:b w:val="0"/>
          <w:color w:val="auto"/>
          <w:highlight w:val="none"/>
        </w:rPr>
      </w:pPr>
      <w:r>
        <w:rPr>
          <w:color w:val="auto"/>
          <w:highlight w:val="none"/>
        </w:rPr>
        <w:t>质量：恪守设计方案和合同，保证工程质量。</w:t>
      </w:r>
    </w:p>
    <w:p w14:paraId="4C645DC4">
      <w:pPr>
        <w:pStyle w:val="4"/>
        <w:numPr>
          <w:ilvl w:val="0"/>
          <w:numId w:val="6"/>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0F5CF65B">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797"/>
        <w:gridCol w:w="1984"/>
        <w:gridCol w:w="2857"/>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岗位</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姓名</w:t>
            </w:r>
          </w:p>
        </w:tc>
        <w:tc>
          <w:tcPr>
            <w:tcW w:w="1797"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1984"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c>
          <w:tcPr>
            <w:tcW w:w="2857"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联系电话</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39CD5AA7">
      <w:pPr>
        <w:pStyle w:val="8"/>
        <w:ind w:left="0" w:leftChars="0" w:firstLine="0" w:firstLineChars="0"/>
        <w:rPr>
          <w:rFonts w:ascii="Times New Roman" w:hAnsi="Times New Roman" w:eastAsia="宋体" w:cs="Times New Roman"/>
          <w:b/>
          <w:bCs/>
          <w:color w:val="auto"/>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2.劳务材料员可承担1个600万元以上和1个100万元以下的项目，且2个项目直线距离不超过5公里。</w:t>
      </w:r>
    </w:p>
    <w:p w14:paraId="148B9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3.劳资资料管理人员、劳务造价专员同期可承担1个600万元以上和2个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4.劳务项目相关管理人员证书注册单位与投标单位不做要求，但必须为本项目实施过程中实际现场管理人员，履行对应职责，否则将按照公司规定处罚。</w:t>
      </w:r>
    </w:p>
    <w:p w14:paraId="57977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.劳务工程完工后由项目经理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p>
    <w:p w14:paraId="4B49C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.施工管理人员、安全协管人员、劳务材料员在劳务施工期间在施工现场应保证每月不得少于22天。</w:t>
      </w:r>
    </w:p>
    <w:p w14:paraId="53E69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.劳务公司的施工管理人员、安全协管人员、劳务材料员等主要管理人员离开施工现场每月累计超过3天的，应通知施工项目部，并征得施工项目部书面同意。</w:t>
      </w:r>
    </w:p>
    <w:p w14:paraId="38D03B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劳务公司的施工管理人员、安全协管人员、劳务材料员若累计达到3次不在施工现场，发包人有权要求施工单位更换主要施工管理人员或解除施工合同，由此带来的损失全部由劳务方负责。</w:t>
      </w:r>
    </w:p>
    <w:p w14:paraId="2F376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擅自更换施工管理人员、安全协管人员、劳务材料员，按3000元/次/人进行处罚，擅自更换劳资资料管理人员、劳务造价专员，按2000元/次/人进行处罚，施工管理人员、安全协管人员、劳务材料员不称职甲方要求更换的，每更换一人罚款3000元，更换人员应于3天内到场，每延迟一天罚款500元，项目其他管理人员不称职甲方要求更换的，每更换一人罚款2000元，更换人员应于3天内到场，每延迟一天罚款300元.同时发包人有权解除施工合同，由此带来的损失全部由承包人负责。</w:t>
      </w:r>
    </w:p>
    <w:p w14:paraId="65D52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.经项目部同意批准更换劳务项目管理人员，施工管理人员、安全协管人员、劳务材料员每人次罚款2000元，项目其他管理人员1000元。</w:t>
      </w:r>
    </w:p>
    <w:p w14:paraId="11419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p>
    <w:p w14:paraId="12CB25DA">
      <w:pPr>
        <w:numPr>
          <w:ilvl w:val="0"/>
          <w:numId w:val="0"/>
        </w:numPr>
        <w:rPr>
          <w:rFonts w:hint="eastAsia" w:ascii="宋体" w:hAnsi="宋体" w:eastAsia="宋体" w:cs="宋体"/>
          <w:color w:val="auto"/>
          <w:kern w:val="2"/>
          <w:sz w:val="24"/>
          <w:szCs w:val="24"/>
          <w:highlight w:val="none"/>
          <w:lang w:val="en-US" w:eastAsia="zh-CN" w:bidi="ar-SA"/>
        </w:rPr>
      </w:pPr>
    </w:p>
    <w:p w14:paraId="51ED61FB">
      <w:pPr>
        <w:numPr>
          <w:ilvl w:val="0"/>
          <w:numId w:val="0"/>
        </w:numPr>
        <w:rPr>
          <w:rFonts w:hint="eastAsia" w:ascii="宋体" w:hAnsi="宋体" w:eastAsia="宋体" w:cs="宋体"/>
          <w:color w:val="auto"/>
          <w:kern w:val="2"/>
          <w:sz w:val="24"/>
          <w:szCs w:val="24"/>
          <w:highlight w:val="none"/>
          <w:lang w:val="en-US" w:eastAsia="zh-CN" w:bidi="ar-SA"/>
        </w:rPr>
      </w:pP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劳务管理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CFA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A3B85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单位在近3年期间（2022年7月至今）,在遂宁市内（含区、县、乡）所承包的工程（施工）业务；</w:t>
            </w:r>
          </w:p>
          <w:p w14:paraId="6F5310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①完成合同金额在100万元（含）-200万元（不含）项目得5分，以竣工的时间和金额为准；</w:t>
            </w:r>
          </w:p>
          <w:p w14:paraId="51B792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②完成合同金额在200万元（含）-500万元（不含）的项目得7分；</w:t>
            </w:r>
          </w:p>
          <w:p w14:paraId="0575BC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③完成合同金额在500万元（含）以上项目得10分；</w:t>
            </w:r>
          </w:p>
          <w:p w14:paraId="713C1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6C3A19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yellow"/>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2C2D98F6">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4A495C9C">
      <w:pPr>
        <w:pStyle w:val="16"/>
        <w:outlineLvl w:val="9"/>
        <w:rPr>
          <w:rFonts w:hint="default" w:eastAsia="宋体"/>
          <w:highlight w:val="none"/>
          <w:lang w:val="en-US" w:eastAsia="zh-CN"/>
        </w:rPr>
      </w:pPr>
      <w:r>
        <w:rPr>
          <w:rFonts w:hint="eastAsia"/>
          <w:highlight w:val="none"/>
          <w:u w:val="single"/>
          <w:lang w:val="en-US" w:eastAsia="zh-CN"/>
        </w:rPr>
        <w:t>遂宁市安居区梧桐路片区城市污水管网整治及附属设施提升项目／遂宁市安居区城南旧城片区城市排水防涝整治建设项目（2标段）</w:t>
      </w:r>
      <w:r>
        <w:rPr>
          <w:highlight w:val="none"/>
          <w:u w:val="single"/>
        </w:rPr>
        <w:t xml:space="preserve"> </w:t>
      </w:r>
    </w:p>
    <w:p w14:paraId="46957218">
      <w:pPr>
        <w:pStyle w:val="16"/>
        <w:outlineLvl w:val="9"/>
        <w:rPr>
          <w:highlight w:val="none"/>
        </w:rPr>
      </w:pPr>
      <w:r>
        <w:rPr>
          <w:rFonts w:hint="eastAsia"/>
          <w:highlight w:val="none"/>
          <w:lang w:val="en-US" w:eastAsia="zh-CN"/>
        </w:rPr>
        <w:t>劳务工程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标段</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2标段</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F57E1CC">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1">
    <w:nsid w:val="B4BE3C81"/>
    <w:multiLevelType w:val="singleLevel"/>
    <w:tmpl w:val="B4BE3C81"/>
    <w:lvl w:ilvl="0" w:tentative="0">
      <w:start w:val="1"/>
      <w:numFmt w:val="decimal"/>
      <w:lvlText w:val="%1."/>
      <w:lvlJc w:val="left"/>
      <w:pPr>
        <w:tabs>
          <w:tab w:val="left" w:pos="312"/>
        </w:tabs>
      </w:pPr>
    </w:lvl>
  </w:abstractNum>
  <w:abstractNum w:abstractNumId="2">
    <w:nsid w:val="CEC917F0"/>
    <w:multiLevelType w:val="singleLevel"/>
    <w:tmpl w:val="CEC917F0"/>
    <w:lvl w:ilvl="0" w:tentative="0">
      <w:start w:val="1"/>
      <w:numFmt w:val="decimalEnclosedCircleChinese"/>
      <w:suff w:val="nothing"/>
      <w:lvlText w:val="%1　"/>
      <w:lvlJc w:val="left"/>
      <w:pPr>
        <w:ind w:left="0" w:firstLine="400"/>
      </w:pPr>
      <w:rPr>
        <w:rFonts w:hint="eastAsia"/>
      </w:rPr>
    </w:lvl>
  </w:abstractNum>
  <w:abstractNum w:abstractNumId="3">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4">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5">
    <w:nsid w:val="F918AB32"/>
    <w:multiLevelType w:val="singleLevel"/>
    <w:tmpl w:val="F918AB32"/>
    <w:lvl w:ilvl="0" w:tentative="0">
      <w:start w:val="1"/>
      <w:numFmt w:val="decimal"/>
      <w:lvlText w:val="%1."/>
      <w:lvlJc w:val="left"/>
      <w:pPr>
        <w:tabs>
          <w:tab w:val="left" w:pos="312"/>
        </w:tabs>
      </w:p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7465EA9F"/>
    <w:multiLevelType w:val="singleLevel"/>
    <w:tmpl w:val="7465EA9F"/>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3"/>
  </w:num>
  <w:num w:numId="3">
    <w:abstractNumId w:val="7"/>
  </w:num>
  <w:num w:numId="4">
    <w:abstractNumId w:val="0"/>
  </w:num>
  <w:num w:numId="5">
    <w:abstractNumId w:val="4"/>
  </w:num>
  <w:num w:numId="6">
    <w:abstractNumId w:val="6"/>
  </w:num>
  <w:num w:numId="7">
    <w:abstractNumId w:val="1"/>
  </w:num>
  <w:num w:numId="8">
    <w:abstractNumId w:val="5"/>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