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遂宁市安居区老城区停车场建设项目二标段污水倒排专业分包报价比选邀请函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承建</w:t>
      </w:r>
      <w:r>
        <w:rPr>
          <w:color w:val="auto"/>
          <w:highlight w:val="none"/>
        </w:rPr>
        <w:t>的</w:t>
      </w:r>
      <w:r>
        <w:rPr>
          <w:rFonts w:hint="eastAsia"/>
          <w:b/>
          <w:bCs/>
          <w:highlight w:val="none"/>
          <w:u w:val="single"/>
          <w:lang w:val="en-US" w:eastAsia="zh-CN"/>
        </w:rPr>
        <w:t>遂宁市安居区老城区停车场建设项目二标段</w:t>
      </w:r>
      <w:r>
        <w:rPr>
          <w:color w:val="auto"/>
          <w:highlight w:val="none"/>
        </w:rPr>
        <w:t>，现根据施工需要，对本项目工程进行</w:t>
      </w:r>
      <w:r>
        <w:rPr>
          <w:rFonts w:hint="eastAsia"/>
          <w:b/>
          <w:bCs/>
          <w:color w:val="auto"/>
          <w:highlight w:val="none"/>
          <w:u w:val="single"/>
          <w:lang w:val="en-US" w:eastAsia="zh-CN"/>
        </w:rPr>
        <w:t>污水倒排专业分包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highlight w:val="none"/>
          <w:lang w:val="en-US" w:eastAsia="zh-CN"/>
        </w:rPr>
        <w:t>新建滨江南路污水主管网2.7公里及支管，沿线人行道及生态停车位、汽车充电桩建设。</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招标实施内容：</w:t>
      </w:r>
      <w:r>
        <w:rPr>
          <w:rFonts w:hint="eastAsia" w:cs="Times New Roman"/>
          <w:b w:val="0"/>
          <w:bCs w:val="0"/>
          <w:color w:val="auto"/>
          <w:kern w:val="0"/>
          <w:sz w:val="24"/>
          <w:szCs w:val="20"/>
          <w:highlight w:val="none"/>
          <w:lang w:val="en-US" w:eastAsia="zh-CN" w:bidi="ar-SA"/>
        </w:rPr>
        <w:t>本项目建设期间根据施工需要对原污水管网中的污水进行倒排。</w:t>
      </w:r>
    </w:p>
    <w:p w14:paraId="4EC79616">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施工工期：以我司通知进场为准，</w:t>
      </w:r>
      <w:r>
        <w:rPr>
          <w:b/>
          <w:bCs/>
          <w:color w:val="auto"/>
          <w:highlight w:val="none"/>
          <w:u w:val="none"/>
        </w:rPr>
        <w:t>工期</w:t>
      </w:r>
      <w:r>
        <w:rPr>
          <w:rFonts w:hint="eastAsia"/>
          <w:b/>
          <w:bCs/>
          <w:color w:val="auto"/>
          <w:highlight w:val="none"/>
          <w:u w:val="none"/>
          <w:lang w:val="en-US" w:eastAsia="zh-CN"/>
        </w:rPr>
        <w:t>随管网施工进度</w:t>
      </w:r>
      <w:r>
        <w:rPr>
          <w:color w:val="auto"/>
          <w:highlight w:val="none"/>
          <w:u w:val="none"/>
        </w:rPr>
        <w:t>。</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w:t>
      </w:r>
      <w:r>
        <w:rPr>
          <w:rFonts w:hint="eastAsia"/>
          <w:color w:val="auto"/>
          <w:highlight w:val="none"/>
          <w:u w:val="none"/>
          <w:lang w:val="en-US" w:eastAsia="zh-CN"/>
        </w:rPr>
        <w:t xml:space="preserve">管网施工要求，不影响市政交通，不对周边造成污染。   </w:t>
      </w:r>
    </w:p>
    <w:p w14:paraId="46B8A25A">
      <w:pPr>
        <w:rPr>
          <w:rFonts w:hint="default"/>
          <w:highlight w:val="none"/>
          <w:lang w:val="en-US"/>
        </w:rPr>
      </w:pPr>
      <w:r>
        <w:rPr>
          <w:rFonts w:hint="eastAsia"/>
          <w:color w:val="auto"/>
          <w:highlight w:val="none"/>
          <w:u w:val="none"/>
          <w:lang w:val="en-US" w:eastAsia="zh-CN"/>
        </w:rPr>
        <w:t xml:space="preserve">    </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hint="eastAsia"/>
          <w:color w:val="auto"/>
          <w:highlight w:val="none"/>
          <w:lang w:val="en-US" w:eastAsia="zh-CN"/>
        </w:rPr>
        <w:t>报价单位需具有独立法人资格，</w:t>
      </w:r>
      <w:r>
        <w:rPr>
          <w:rFonts w:hint="eastAsia" w:ascii="宋体" w:hAnsi="宋体" w:cs="Times New Roman" w:eastAsiaTheme="minorEastAsia"/>
          <w:b w:val="0"/>
          <w:bCs/>
          <w:kern w:val="0"/>
          <w:sz w:val="24"/>
          <w:szCs w:val="24"/>
          <w:highlight w:val="none"/>
          <w:lang w:val="en-US" w:eastAsia="zh-CN" w:bidi="ar-SA"/>
        </w:rPr>
        <w:t>且具备</w:t>
      </w:r>
      <w:r>
        <w:rPr>
          <w:rFonts w:hint="eastAsia"/>
          <w:color w:val="auto"/>
          <w:highlight w:val="none"/>
          <w:lang w:eastAsia="zh-CN"/>
        </w:rPr>
        <w:t>建设行政主管部门核发的</w:t>
      </w:r>
      <w:r>
        <w:rPr>
          <w:rFonts w:hint="eastAsia"/>
          <w:b w:val="0"/>
          <w:bCs w:val="0"/>
          <w:color w:val="auto"/>
          <w:highlight w:val="none"/>
          <w:lang w:val="en-US" w:eastAsia="zh-CN"/>
        </w:rPr>
        <w:t>市政公用施工总承包</w:t>
      </w:r>
      <w:r>
        <w:rPr>
          <w:rFonts w:hint="eastAsia"/>
          <w:b w:val="0"/>
          <w:bCs w:val="0"/>
          <w:color w:val="auto"/>
          <w:highlight w:val="none"/>
          <w:lang w:eastAsia="zh-CN"/>
        </w:rPr>
        <w:t>三级</w:t>
      </w:r>
      <w:r>
        <w:rPr>
          <w:rFonts w:hint="eastAsia"/>
          <w:b w:val="0"/>
          <w:bCs w:val="0"/>
          <w:color w:val="auto"/>
          <w:highlight w:val="none"/>
          <w:lang w:val="en-US" w:eastAsia="zh-CN"/>
        </w:rPr>
        <w:t>及其</w:t>
      </w:r>
      <w:r>
        <w:rPr>
          <w:rFonts w:hint="eastAsia"/>
          <w:b w:val="0"/>
          <w:bCs w:val="0"/>
          <w:color w:val="auto"/>
          <w:highlight w:val="none"/>
          <w:lang w:eastAsia="zh-CN"/>
        </w:rPr>
        <w:t>以上资质</w:t>
      </w:r>
      <w:r>
        <w:rPr>
          <w:rFonts w:hint="eastAsia"/>
          <w:b w:val="0"/>
          <w:bCs w:val="0"/>
          <w:color w:val="auto"/>
          <w:highlight w:val="none"/>
          <w:lang w:val="en-US" w:eastAsia="zh-CN"/>
        </w:rPr>
        <w:t>或</w:t>
      </w:r>
      <w:r>
        <w:rPr>
          <w:rFonts w:hint="eastAsia" w:ascii="宋体" w:hAnsi="宋体" w:cs="Times New Roman" w:eastAsiaTheme="minorEastAsia"/>
          <w:b w:val="0"/>
          <w:bCs/>
          <w:kern w:val="0"/>
          <w:sz w:val="24"/>
          <w:szCs w:val="24"/>
          <w:highlight w:val="none"/>
          <w:lang w:val="en-US" w:eastAsia="zh-CN" w:bidi="ar-SA"/>
        </w:rPr>
        <w:t>具备相应的市政管道清淤疏通、污水转运及化粪池清理能力资质证书（丙级及其以上等级），</w:t>
      </w:r>
      <w:r>
        <w:rPr>
          <w:rFonts w:hint="eastAsia"/>
          <w:color w:val="auto"/>
          <w:highlight w:val="none"/>
          <w:lang w:val="en-US" w:eastAsia="zh-CN"/>
        </w:rPr>
        <w:t>并具有</w:t>
      </w:r>
      <w:r>
        <w:rPr>
          <w:color w:val="auto"/>
          <w:highlight w:val="none"/>
        </w:rPr>
        <w:t>有效的安全生产许可证</w:t>
      </w:r>
      <w:r>
        <w:rPr>
          <w:rFonts w:hint="eastAsia" w:ascii="宋体" w:hAnsi="宋体" w:cs="Times New Roman" w:eastAsiaTheme="minorEastAsia"/>
          <w:b w:val="0"/>
          <w:bCs/>
          <w:kern w:val="0"/>
          <w:sz w:val="24"/>
          <w:szCs w:val="24"/>
          <w:highlight w:val="none"/>
          <w:lang w:val="en-US" w:eastAsia="zh-CN" w:bidi="ar-SA"/>
        </w:rPr>
        <w:t>。</w:t>
      </w:r>
    </w:p>
    <w:p w14:paraId="4ECBBB20">
      <w:pPr>
        <w:widowControl/>
        <w:numPr>
          <w:ilvl w:val="0"/>
          <w:numId w:val="4"/>
        </w:numPr>
        <w:spacing w:line="360" w:lineRule="auto"/>
        <w:ind w:left="0" w:leftChars="0" w:firstLine="480" w:firstLineChars="200"/>
        <w:jc w:val="left"/>
        <w:rPr>
          <w:b w:val="0"/>
          <w:color w:val="auto"/>
          <w:highlight w:val="none"/>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lang w:eastAsia="zh-CN"/>
        </w:rPr>
        <w:t>（包含</w:t>
      </w:r>
      <w:r>
        <w:rPr>
          <w:rFonts w:hint="eastAsia" w:ascii="宋体" w:hAnsi="宋体" w:cs="Times New Roman" w:eastAsiaTheme="minorEastAsia"/>
          <w:b w:val="0"/>
          <w:bCs/>
          <w:kern w:val="0"/>
          <w:sz w:val="24"/>
          <w:szCs w:val="24"/>
          <w:lang w:val="en-US" w:eastAsia="zh-CN"/>
        </w:rPr>
        <w:t>具有市政二级建造师或市政施工员证书的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且与投标单位签订的劳动合同）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暂定控制价为：</w:t>
      </w:r>
      <w:r>
        <w:rPr>
          <w:rFonts w:hint="eastAsia" w:cs="Times New Roman"/>
          <w:b/>
          <w:bCs/>
          <w:color w:val="auto"/>
          <w:highlight w:val="none"/>
          <w:u w:val="single"/>
          <w:lang w:val="en-US" w:eastAsia="zh-CN"/>
        </w:rPr>
        <w:t>1500049.26</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(大写：壹佰伍拾万零肆拾玖元贰角陆分）</w:t>
      </w:r>
      <w:r>
        <w:rPr>
          <w:rFonts w:hint="eastAsia" w:ascii="宋体" w:hAnsi="宋体" w:cs="Times New Roman" w:eastAsiaTheme="minorEastAsia"/>
          <w:b w:val="0"/>
          <w:bCs/>
          <w:kern w:val="0"/>
          <w:sz w:val="24"/>
          <w:szCs w:val="24"/>
          <w:highlight w:val="none"/>
          <w:lang w:val="en-US" w:eastAsia="zh-CN"/>
        </w:rPr>
        <w:t>，以清单总价报下浮比例（详附件5），</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2</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2</w:t>
      </w:r>
      <w:r>
        <w:rPr>
          <w:rFonts w:hint="eastAsia" w:eastAsia="宋体"/>
          <w:color w:val="auto"/>
          <w:highlight w:val="none"/>
          <w:lang w:val="en-US" w:eastAsia="zh-CN"/>
        </w:rPr>
        <w:t>%视为废标</w:t>
      </w:r>
      <w:r>
        <w:rPr>
          <w:rFonts w:hint="eastAsia" w:ascii="宋体" w:hAnsi="宋体" w:cs="Times New Roman" w:eastAsiaTheme="minorEastAsia"/>
          <w:b/>
          <w:bCs w:val="0"/>
          <w:kern w:val="0"/>
          <w:sz w:val="24"/>
          <w:szCs w:val="24"/>
          <w:highlight w:val="none"/>
          <w:lang w:val="en-US" w:eastAsia="zh-CN"/>
        </w:rPr>
        <w:t>。</w:t>
      </w:r>
      <w:r>
        <w:rPr>
          <w:rFonts w:hint="eastAsia" w:eastAsia="宋体"/>
          <w:color w:val="auto"/>
          <w:highlight w:val="none"/>
          <w:lang w:val="en-US" w:eastAsia="zh-CN"/>
        </w:rPr>
        <w:t>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6545F2C1">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p>
    <w:p w14:paraId="162D7BEE">
      <w:pPr>
        <w:pStyle w:val="4"/>
        <w:keepNext w:val="0"/>
        <w:keepLines w:val="0"/>
        <w:pageBreakBefore w:val="0"/>
        <w:numPr>
          <w:ilvl w:val="0"/>
          <w:numId w:val="5"/>
        </w:numPr>
        <w:kinsoku/>
        <w:overflowPunct/>
        <w:topLinePunct w:val="0"/>
        <w:bidi w:val="0"/>
        <w:spacing w:line="360" w:lineRule="auto"/>
        <w:ind w:left="0" w:leftChars="0" w:firstLine="480" w:firstLineChars="200"/>
        <w:textAlignment w:val="auto"/>
        <w:rPr>
          <w:rFonts w:hint="default" w:eastAsia="宋体"/>
          <w:color w:val="auto"/>
          <w:highlight w:val="none"/>
          <w:lang w:val="en-US" w:eastAsia="zh-CN"/>
        </w:rPr>
      </w:pPr>
      <w:r>
        <w:rPr>
          <w:rFonts w:hint="eastAsia" w:eastAsia="宋体"/>
          <w:color w:val="auto"/>
          <w:highlight w:val="none"/>
          <w:lang w:val="en-US" w:eastAsia="zh-CN"/>
        </w:rPr>
        <w:t>进场后拨付预付款30%；</w:t>
      </w:r>
    </w:p>
    <w:p w14:paraId="054CC149">
      <w:pPr>
        <w:pStyle w:val="4"/>
        <w:keepNext w:val="0"/>
        <w:keepLines w:val="0"/>
        <w:pageBreakBefore w:val="0"/>
        <w:numPr>
          <w:ilvl w:val="0"/>
          <w:numId w:val="5"/>
        </w:numPr>
        <w:kinsoku/>
        <w:overflowPunct/>
        <w:topLinePunct w:val="0"/>
        <w:bidi w:val="0"/>
        <w:spacing w:line="360" w:lineRule="auto"/>
        <w:ind w:left="0" w:leftChars="0" w:firstLine="48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管网施工完毕后，不再进行倒排作业后拨付暂估合同价的30%；</w:t>
      </w:r>
    </w:p>
    <w:p w14:paraId="4B76D2CB">
      <w:pPr>
        <w:pStyle w:val="4"/>
        <w:keepNext w:val="0"/>
        <w:keepLines w:val="0"/>
        <w:pageBreakBefore w:val="0"/>
        <w:numPr>
          <w:ilvl w:val="0"/>
          <w:numId w:val="5"/>
        </w:numPr>
        <w:kinsoku/>
        <w:overflowPunct/>
        <w:topLinePunct w:val="0"/>
        <w:bidi w:val="0"/>
        <w:spacing w:line="360" w:lineRule="auto"/>
        <w:ind w:left="0" w:leftChars="0" w:firstLine="480" w:firstLineChars="200"/>
        <w:textAlignment w:val="auto"/>
        <w:rPr>
          <w:rFonts w:hint="default" w:eastAsia="宋体"/>
          <w:color w:val="auto"/>
          <w:highlight w:val="none"/>
          <w:lang w:val="en-US" w:eastAsia="zh-CN"/>
        </w:rPr>
      </w:pPr>
      <w:r>
        <w:rPr>
          <w:rFonts w:hint="eastAsia" w:eastAsia="宋体"/>
          <w:color w:val="auto"/>
          <w:highlight w:val="none"/>
          <w:lang w:val="en-US" w:eastAsia="zh-CN"/>
        </w:rPr>
        <w:t>项目审计结算完毕后一个月内拨付剩余款项。（</w:t>
      </w:r>
      <w:r>
        <w:rPr>
          <w:rFonts w:hint="eastAsia" w:eastAsia="宋体"/>
          <w:b/>
          <w:bCs/>
          <w:color w:val="auto"/>
          <w:highlight w:val="none"/>
          <w:lang w:val="en-US" w:eastAsia="zh-CN"/>
        </w:rPr>
        <w:t>审计结算</w:t>
      </w:r>
      <w:r>
        <w:rPr>
          <w:rFonts w:hint="eastAsia"/>
          <w:b/>
          <w:bCs/>
          <w:color w:val="auto"/>
          <w:highlight w:val="none"/>
          <w:lang w:val="en-US" w:eastAsia="zh-CN"/>
        </w:rPr>
        <w:t>工程量按建设单位认可的为准，综合单价</w:t>
      </w:r>
      <w:r>
        <w:rPr>
          <w:rFonts w:hint="eastAsia" w:eastAsia="宋体"/>
          <w:b/>
          <w:bCs/>
          <w:color w:val="auto"/>
          <w:highlight w:val="none"/>
          <w:lang w:val="en-US" w:eastAsia="zh-CN"/>
        </w:rPr>
        <w:t>以建设单位向我司结算</w:t>
      </w:r>
      <w:r>
        <w:rPr>
          <w:rFonts w:hint="eastAsia"/>
          <w:b/>
          <w:bCs/>
          <w:color w:val="auto"/>
          <w:highlight w:val="none"/>
          <w:lang w:val="en-US" w:eastAsia="zh-CN"/>
        </w:rPr>
        <w:t>价后</w:t>
      </w:r>
      <w:r>
        <w:rPr>
          <w:rFonts w:hint="eastAsia" w:eastAsia="宋体"/>
          <w:b/>
          <w:bCs/>
          <w:color w:val="auto"/>
          <w:highlight w:val="none"/>
          <w:lang w:val="en-US" w:eastAsia="zh-CN"/>
        </w:rPr>
        <w:t>按分包中标下浮率下浮计算</w:t>
      </w:r>
      <w:r>
        <w:rPr>
          <w:rFonts w:hint="eastAsia" w:eastAsia="宋体"/>
          <w:color w:val="auto"/>
          <w:highlight w:val="none"/>
          <w:lang w:val="en-US" w:eastAsia="zh-CN"/>
        </w:rPr>
        <w:t>）。</w:t>
      </w:r>
    </w:p>
    <w:p w14:paraId="7DB1634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3" w:firstLineChars="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新增、变更工程按业主审定的已完成工程产值按分包单位下浮后的50%计入进度，随进度支付条款进行拨付，剩余部分待审计结束后支付至分包单位结算总价的 97%，项目审计结算完毕后一个月内拨付剩余款项。</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74ABC611">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color w:val="auto"/>
          <w:highlight w:val="none"/>
          <w:u w:val="none"/>
          <w:lang w:val="en-US" w:eastAsia="zh-CN"/>
        </w:rPr>
      </w:pPr>
      <w:r>
        <w:rPr>
          <w:rFonts w:hint="eastAsia" w:cs="Times New Roman"/>
          <w:color w:val="auto"/>
          <w:highlight w:val="none"/>
          <w:lang w:val="en-US" w:eastAsia="zh-CN"/>
        </w:rPr>
        <w:t>下浮</w:t>
      </w:r>
      <w:r>
        <w:rPr>
          <w:rFonts w:hint="default" w:cs="Times New Roman"/>
          <w:color w:val="auto"/>
          <w:highlight w:val="none"/>
          <w:lang w:val="en-US" w:eastAsia="zh-CN"/>
        </w:rPr>
        <w:t>比例最高的单位</w:t>
      </w:r>
      <w:r>
        <w:rPr>
          <w:rFonts w:hint="eastAsia" w:cs="Times New Roman"/>
          <w:color w:val="auto"/>
          <w:highlight w:val="none"/>
          <w:lang w:val="en-US" w:eastAsia="zh-CN"/>
        </w:rPr>
        <w:t>中选</w:t>
      </w:r>
      <w:r>
        <w:rPr>
          <w:rFonts w:hint="eastAsia"/>
          <w:color w:val="auto"/>
          <w:highlight w:val="none"/>
          <w:u w:val="none"/>
          <w:lang w:val="en-US" w:eastAsia="zh-CN"/>
        </w:rPr>
        <w:t>。（若出现两家及以上单位报价相同则采取抽乒乓球方式确定中选单位，抽取方式：在密闭箱内放入与参与抽取的比选申请人相同数量的乒乓球，且乒乓球在密闭箱中抓取号球，由抽到号球1的单位中选。）</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39309900">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原则上应当下浮比例最高的单位确定为拟中标单位。中标单位放弃中标、因不可抗力不能履行合同，或者被查实存在影响中标结果的违法行为等情形，不符合中标条件的，可以依次确认其他中标候选人为拟中标人，也可以重新招标。</w:t>
      </w:r>
    </w:p>
    <w:p w14:paraId="22A4E7DB">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8"/>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9"/>
        </w:numPr>
        <w:ind w:left="0" w:leftChars="0" w:firstLine="480" w:firstLineChars="0"/>
        <w:rPr>
          <w:b w:val="0"/>
          <w:color w:val="auto"/>
          <w:highlight w:val="none"/>
        </w:rPr>
      </w:pPr>
      <w:r>
        <w:rPr>
          <w:b w:val="0"/>
          <w:bCs w:val="0"/>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w:t>
      </w:r>
      <w:r>
        <w:rPr>
          <w:rFonts w:hint="eastAsia"/>
          <w:color w:val="auto"/>
          <w:highlight w:val="none"/>
          <w:lang w:val="en-US" w:eastAsia="zh-CN"/>
        </w:rPr>
        <w:t>签字或签章（或</w:t>
      </w:r>
      <w:r>
        <w:rPr>
          <w:color w:val="auto"/>
          <w:highlight w:val="none"/>
        </w:rPr>
        <w:t>授权人签字</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9"/>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9"/>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numPr>
          <w:ilvl w:val="0"/>
          <w:numId w:val="8"/>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rFonts w:hint="eastAsia" w:ascii="宋体" w:hAnsi="宋体" w:cs="Times New Roman" w:eastAsiaTheme="minorEastAsia"/>
          <w:b w:val="0"/>
          <w:bCs/>
          <w:kern w:val="0"/>
          <w:sz w:val="24"/>
          <w:szCs w:val="24"/>
          <w:highlight w:val="none"/>
          <w:lang w:val="en-US" w:eastAsia="zh-CN" w:bidi="ar-SA"/>
        </w:rPr>
        <w:t>具备</w:t>
      </w:r>
      <w:r>
        <w:rPr>
          <w:rFonts w:hint="eastAsia"/>
          <w:color w:val="auto"/>
          <w:highlight w:val="none"/>
          <w:lang w:eastAsia="zh-CN"/>
        </w:rPr>
        <w:t>建设行政主管部门核发的</w:t>
      </w:r>
      <w:r>
        <w:rPr>
          <w:rFonts w:hint="eastAsia"/>
          <w:b w:val="0"/>
          <w:bCs w:val="0"/>
          <w:color w:val="auto"/>
          <w:highlight w:val="none"/>
          <w:lang w:val="en-US" w:eastAsia="zh-CN"/>
        </w:rPr>
        <w:t>市政公用施工总承包</w:t>
      </w:r>
      <w:r>
        <w:rPr>
          <w:rFonts w:hint="eastAsia"/>
          <w:b w:val="0"/>
          <w:bCs w:val="0"/>
          <w:color w:val="auto"/>
          <w:highlight w:val="none"/>
          <w:lang w:eastAsia="zh-CN"/>
        </w:rPr>
        <w:t>三级</w:t>
      </w:r>
      <w:r>
        <w:rPr>
          <w:rFonts w:hint="eastAsia"/>
          <w:b w:val="0"/>
          <w:bCs w:val="0"/>
          <w:color w:val="auto"/>
          <w:highlight w:val="none"/>
          <w:lang w:val="en-US" w:eastAsia="zh-CN"/>
        </w:rPr>
        <w:t>及其</w:t>
      </w:r>
      <w:r>
        <w:rPr>
          <w:rFonts w:hint="eastAsia"/>
          <w:b w:val="0"/>
          <w:bCs w:val="0"/>
          <w:color w:val="auto"/>
          <w:highlight w:val="none"/>
          <w:lang w:eastAsia="zh-CN"/>
        </w:rPr>
        <w:t>以上资质</w:t>
      </w:r>
      <w:r>
        <w:rPr>
          <w:rFonts w:hint="eastAsia"/>
          <w:b w:val="0"/>
          <w:bCs w:val="0"/>
          <w:color w:val="auto"/>
          <w:highlight w:val="none"/>
          <w:lang w:val="en-US" w:eastAsia="zh-CN"/>
        </w:rPr>
        <w:t>或</w:t>
      </w:r>
      <w:r>
        <w:rPr>
          <w:rFonts w:hint="eastAsia" w:ascii="宋体" w:hAnsi="宋体" w:cs="Times New Roman" w:eastAsiaTheme="minorEastAsia"/>
          <w:b w:val="0"/>
          <w:bCs/>
          <w:kern w:val="0"/>
          <w:sz w:val="24"/>
          <w:szCs w:val="24"/>
          <w:highlight w:val="none"/>
          <w:lang w:val="en-US" w:eastAsia="zh-CN" w:bidi="ar-SA"/>
        </w:rPr>
        <w:t>具备相应的市政管道清淤疏通、污水转运及化粪池清理能力资质证书（丙级及其以上等级）</w:t>
      </w:r>
      <w:r>
        <w:rPr>
          <w:color w:val="auto"/>
          <w:highlight w:val="none"/>
        </w:rPr>
        <w:t>、安全生产许可证复印件；</w:t>
      </w:r>
    </w:p>
    <w:p w14:paraId="79C21AAF">
      <w:pPr>
        <w:pStyle w:val="4"/>
        <w:numPr>
          <w:ilvl w:val="0"/>
          <w:numId w:val="10"/>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numPr>
          <w:ilvl w:val="0"/>
          <w:numId w:val="10"/>
        </w:numPr>
        <w:ind w:left="0" w:leftChars="0" w:firstLine="480" w:firstLineChars="0"/>
        <w:rPr>
          <w:b w:val="0"/>
          <w:color w:val="auto"/>
          <w:highlight w:val="none"/>
        </w:rPr>
      </w:pPr>
      <w:r>
        <w:rPr>
          <w:color w:val="auto"/>
          <w:highlight w:val="none"/>
        </w:rPr>
        <w:t>承诺书；</w:t>
      </w:r>
    </w:p>
    <w:p w14:paraId="3E8213D8">
      <w:pPr>
        <w:pStyle w:val="4"/>
        <w:numPr>
          <w:ilvl w:val="0"/>
          <w:numId w:val="10"/>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numPr>
          <w:ilvl w:val="0"/>
          <w:numId w:val="10"/>
        </w:numPr>
        <w:ind w:left="0" w:leftChars="0" w:firstLine="480" w:firstLineChars="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359AB274">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1D61282">
      <w:pPr>
        <w:rPr>
          <w:highlight w:val="none"/>
        </w:rPr>
      </w:pP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numPr>
          <w:ilvl w:val="0"/>
          <w:numId w:val="12"/>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numPr>
          <w:ilvl w:val="0"/>
          <w:numId w:val="12"/>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numPr>
          <w:ilvl w:val="0"/>
          <w:numId w:val="12"/>
        </w:numPr>
        <w:ind w:left="425" w:leftChars="0" w:hanging="425" w:firstLineChars="0"/>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numPr>
          <w:ilvl w:val="0"/>
          <w:numId w:val="12"/>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bookmarkStart w:id="0" w:name="_GoBack"/>
      <w:bookmarkEnd w:id="0"/>
    </w:p>
    <w:p w14:paraId="1BEDD507">
      <w:pPr>
        <w:pStyle w:val="4"/>
        <w:numPr>
          <w:ilvl w:val="0"/>
          <w:numId w:val="12"/>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numPr>
          <w:ilvl w:val="0"/>
          <w:numId w:val="12"/>
        </w:numPr>
        <w:ind w:left="425" w:leftChars="0" w:hanging="425" w:firstLineChars="0"/>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134" w:bottom="1440"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资质：具备</w:t>
      </w:r>
      <w:r>
        <w:rPr>
          <w:rFonts w:hint="eastAsia"/>
          <w:color w:val="auto"/>
          <w:highlight w:val="none"/>
          <w:lang w:eastAsia="zh-CN"/>
        </w:rPr>
        <w:t>建设行政</w:t>
      </w:r>
      <w:r>
        <w:rPr>
          <w:rFonts w:hint="eastAsia" w:ascii="Times New Roman" w:hAnsi="Times New Roman" w:eastAsia="宋体" w:cs="Times New Roman"/>
          <w:color w:val="auto"/>
          <w:highlight w:val="none"/>
          <w:lang w:eastAsia="zh-CN"/>
        </w:rPr>
        <w:t>主管部门核发的</w:t>
      </w:r>
      <w:r>
        <w:rPr>
          <w:rFonts w:hint="eastAsia" w:ascii="Times New Roman" w:hAnsi="Times New Roman" w:eastAsia="宋体" w:cs="Times New Roman"/>
          <w:color w:val="auto"/>
          <w:highlight w:val="none"/>
          <w:lang w:val="en-US" w:eastAsia="zh-CN"/>
        </w:rPr>
        <w:t>市政公用施工总承包</w:t>
      </w:r>
      <w:r>
        <w:rPr>
          <w:rFonts w:hint="eastAsia" w:ascii="Times New Roman" w:hAnsi="Times New Roman" w:eastAsia="宋体" w:cs="Times New Roman"/>
          <w:color w:val="auto"/>
          <w:highlight w:val="none"/>
          <w:lang w:eastAsia="zh-CN"/>
        </w:rPr>
        <w:t>三级</w:t>
      </w:r>
      <w:r>
        <w:rPr>
          <w:rFonts w:hint="eastAsia" w:ascii="Times New Roman" w:hAnsi="Times New Roman" w:eastAsia="宋体" w:cs="Times New Roman"/>
          <w:color w:val="auto"/>
          <w:highlight w:val="none"/>
          <w:lang w:val="en-US" w:eastAsia="zh-CN"/>
        </w:rPr>
        <w:t>及其</w:t>
      </w:r>
      <w:r>
        <w:rPr>
          <w:rFonts w:hint="eastAsia" w:ascii="Times New Roman" w:hAnsi="Times New Roman" w:eastAsia="宋体" w:cs="Times New Roman"/>
          <w:color w:val="auto"/>
          <w:highlight w:val="none"/>
          <w:lang w:eastAsia="zh-CN"/>
        </w:rPr>
        <w:t>以上资质</w:t>
      </w:r>
      <w:r>
        <w:rPr>
          <w:rFonts w:hint="eastAsia" w:ascii="Times New Roman" w:hAnsi="Times New Roman" w:eastAsia="宋体" w:cs="Times New Roman"/>
          <w:color w:val="auto"/>
          <w:highlight w:val="none"/>
          <w:lang w:val="en-US" w:eastAsia="zh-CN"/>
        </w:rPr>
        <w:t>或具备相应的市政管道清淤疏通、污水转运及化粪池清理能力资质证书（丙级及其以上等级）</w:t>
      </w:r>
      <w:r>
        <w:rPr>
          <w:rFonts w:ascii="Times New Roman" w:hAnsi="Times New Roman" w:eastAsia="宋体" w:cs="Times New Roman"/>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09AD5510">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135693E7">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的安全协管人员离开施工现场每月累计超过3天的，应通知施工项目部，并征得施工项目部书面同意。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的安全协管人员若累计达到3次不在施工现场，发包人有权要求施工单位更换主要施工管理人员或解除施工合同，由此带来的损失全部由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擅自更换安全协管人员，按3000元/次/人进行处罚，安全协管人员不称职甲方要求更换的，每更换一人罚款3000元，更换人员应于3天内到场，每延迟一天罚款500元。</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经项目部同意批准更换安全协管人员每人次罚款2000元。</w:t>
      </w: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附件五：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遂宁市安居区老城区停车场建设项目二标段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工程</w:t>
      </w:r>
      <w:r>
        <w:rPr>
          <w:rFonts w:hint="eastAsia" w:ascii="宋体" w:hAnsi="宋体" w:eastAsia="宋体" w:cs="宋体"/>
          <w:b/>
          <w:color w:val="auto"/>
          <w:sz w:val="24"/>
          <w:szCs w:val="24"/>
          <w:highlight w:val="none"/>
          <w:lang w:val="en-US" w:eastAsia="zh-CN"/>
        </w:rPr>
        <w:t>报价表</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424"/>
        <w:gridCol w:w="3174"/>
        <w:gridCol w:w="4982"/>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46"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50"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46"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50" w:type="pct"/>
            <w:noWrap w:val="0"/>
            <w:vAlign w:val="center"/>
          </w:tcPr>
          <w:p w14:paraId="66FD96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300" w:firstLineChars="1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污水倒排专业分包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1F57E1CC">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1500049.26元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12%作为最高限价，投标下浮率小于或等于12%视为废标。</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9">
    <w:nsid w:val="2299A277"/>
    <w:multiLevelType w:val="singleLevel"/>
    <w:tmpl w:val="2299A277"/>
    <w:lvl w:ilvl="0" w:tentative="0">
      <w:start w:val="1"/>
      <w:numFmt w:val="decimalEnclosedCircleChinese"/>
      <w:suff w:val="nothing"/>
      <w:lvlText w:val="%1　"/>
      <w:lvlJc w:val="left"/>
      <w:pPr>
        <w:ind w:left="0" w:firstLine="400"/>
      </w:pPr>
      <w:rPr>
        <w:rFonts w:hint="eastAsia"/>
      </w:rPr>
    </w:lvl>
  </w:abstractNum>
  <w:abstractNum w:abstractNumId="10">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1">
    <w:nsid w:val="34719065"/>
    <w:multiLevelType w:val="singleLevel"/>
    <w:tmpl w:val="34719065"/>
    <w:lvl w:ilvl="0" w:tentative="0">
      <w:start w:val="1"/>
      <w:numFmt w:val="decimal"/>
      <w:lvlText w:val="%1."/>
      <w:lvlJc w:val="left"/>
      <w:pPr>
        <w:ind w:left="425" w:hanging="425"/>
      </w:pPr>
      <w:rPr>
        <w:rFonts w:hint="default"/>
      </w:rPr>
    </w:lvl>
  </w:abstractNum>
  <w:abstractNum w:abstractNumId="12">
    <w:nsid w:val="4595BBDC"/>
    <w:multiLevelType w:val="singleLevel"/>
    <w:tmpl w:val="4595BBDC"/>
    <w:lvl w:ilvl="0" w:tentative="0">
      <w:start w:val="1"/>
      <w:numFmt w:val="decimalEnclosedCircleChinese"/>
      <w:suff w:val="nothing"/>
      <w:lvlText w:val="%1　"/>
      <w:lvlJc w:val="left"/>
      <w:pPr>
        <w:ind w:left="0" w:firstLine="400"/>
      </w:pPr>
      <w:rPr>
        <w:rFonts w:hint="eastAsia"/>
      </w:rPr>
    </w:lvl>
  </w:abstractNum>
  <w:abstractNum w:abstractNumId="13">
    <w:nsid w:val="689F2096"/>
    <w:multiLevelType w:val="singleLevel"/>
    <w:tmpl w:val="689F2096"/>
    <w:lvl w:ilvl="0" w:tentative="0">
      <w:start w:val="1"/>
      <w:numFmt w:val="decimal"/>
      <w:lvlText w:val="%1."/>
      <w:lvlJc w:val="left"/>
      <w:pPr>
        <w:ind w:left="425" w:hanging="425"/>
      </w:pPr>
      <w:rPr>
        <w:rFonts w:hint="default"/>
      </w:rPr>
    </w:lvl>
  </w:abstractNum>
  <w:abstractNum w:abstractNumId="14">
    <w:nsid w:val="68AA613B"/>
    <w:multiLevelType w:val="singleLevel"/>
    <w:tmpl w:val="68AA613B"/>
    <w:lvl w:ilvl="0" w:tentative="0">
      <w:start w:val="1"/>
      <w:numFmt w:val="decimalEnclosedCircleChinese"/>
      <w:suff w:val="nothing"/>
      <w:lvlText w:val="%1　"/>
      <w:lvlJc w:val="left"/>
      <w:pPr>
        <w:ind w:left="0" w:firstLine="400"/>
      </w:pPr>
      <w:rPr>
        <w:rFonts w:hint="eastAsia"/>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1"/>
  </w:num>
  <w:num w:numId="3">
    <w:abstractNumId w:val="4"/>
  </w:num>
  <w:num w:numId="4">
    <w:abstractNumId w:val="12"/>
  </w:num>
  <w:num w:numId="5">
    <w:abstractNumId w:val="14"/>
  </w:num>
  <w:num w:numId="6">
    <w:abstractNumId w:val="9"/>
  </w:num>
  <w:num w:numId="7">
    <w:abstractNumId w:val="5"/>
  </w:num>
  <w:num w:numId="8">
    <w:abstractNumId w:val="3"/>
  </w:num>
  <w:num w:numId="9">
    <w:abstractNumId w:val="2"/>
  </w:num>
  <w:num w:numId="10">
    <w:abstractNumId w:val="10"/>
  </w:num>
  <w:num w:numId="11">
    <w:abstractNumId w:val="15"/>
  </w:num>
  <w:num w:numId="12">
    <w:abstractNumId w:val="0"/>
  </w:num>
  <w:num w:numId="13">
    <w:abstractNumId w:val="1"/>
  </w:num>
  <w:num w:numId="14">
    <w:abstractNumId w:val="7"/>
  </w:num>
  <w:num w:numId="15">
    <w:abstractNumId w:val="8"/>
  </w:num>
  <w:num w:numId="16">
    <w:abstractNumId w:val="6"/>
  </w:num>
  <w:num w:numId="17">
    <w:abstractNumId w:val="13"/>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