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47EE0">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遂宁市安居区老旧小区改造提升项目（国贸片区等老旧小区改造及配套设施—周边附属道路交安市政设施）交安工程专业分包报价比选邀请函</w:t>
      </w:r>
    </w:p>
    <w:p w14:paraId="053B8E38">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（第二次）</w:t>
      </w:r>
    </w:p>
    <w:p w14:paraId="5FE06166">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6D8E20BA">
      <w:pPr>
        <w:pStyle w:val="7"/>
        <w:keepNext w:val="0"/>
        <w:keepLines w:val="0"/>
        <w:pageBreakBefore w:val="0"/>
        <w:widowControl/>
        <w:kinsoku/>
        <w:overflowPunct/>
        <w:topLinePunct w:val="0"/>
        <w:bidi w:val="0"/>
        <w:spacing w:line="360" w:lineRule="auto"/>
        <w:ind w:firstLine="480" w:firstLineChars="200"/>
        <w:jc w:val="left"/>
        <w:textAlignment w:val="auto"/>
        <w:rPr>
          <w:color w:val="auto"/>
          <w:highlight w:val="none"/>
        </w:rPr>
      </w:pPr>
      <w:r>
        <w:rPr>
          <w:rFonts w:hint="eastAsia" w:ascii="Times New Roman" w:hAnsi="Times New Roman" w:eastAsia="宋体" w:cs="Times New Roman"/>
          <w:b w:val="0"/>
          <w:bCs w:val="0"/>
          <w:color w:val="auto"/>
          <w:kern w:val="2"/>
          <w:sz w:val="24"/>
          <w:highlight w:val="none"/>
          <w:u w:val="none"/>
          <w:lang w:val="en-US" w:eastAsia="zh-CN" w:bidi="ar-SA"/>
        </w:rPr>
        <w:t>由我司施工承建的</w:t>
      </w:r>
      <w:r>
        <w:rPr>
          <w:rFonts w:hint="eastAsia" w:ascii="宋体" w:hAnsi="宋体" w:cs="Times New Roman" w:eastAsiaTheme="minorEastAsia"/>
          <w:b/>
          <w:bCs w:val="0"/>
          <w:kern w:val="0"/>
          <w:sz w:val="24"/>
          <w:szCs w:val="24"/>
          <w:u w:val="single"/>
          <w:lang w:val="en-US" w:eastAsia="zh-CN"/>
        </w:rPr>
        <w:t>遂宁市安居区老旧小区改造提升项目（国贸片区等老旧小区改造及配套设施—周边附属道路交安市政设施）</w:t>
      </w:r>
      <w:r>
        <w:rPr>
          <w:rFonts w:hint="eastAsia" w:ascii="宋体" w:hAnsi="宋体" w:cs="Times New Roman" w:eastAsiaTheme="minorEastAsia"/>
          <w:b w:val="0"/>
          <w:bCs/>
          <w:kern w:val="0"/>
          <w:sz w:val="24"/>
          <w:szCs w:val="24"/>
          <w:lang w:eastAsia="zh-CN"/>
        </w:rPr>
        <w:t>，现根据施工需要，对本项目工程进行</w:t>
      </w:r>
      <w:r>
        <w:rPr>
          <w:rFonts w:hint="eastAsia" w:ascii="宋体" w:hAnsi="宋体" w:cs="Times New Roman" w:eastAsiaTheme="minorEastAsia"/>
          <w:b/>
          <w:bCs w:val="0"/>
          <w:kern w:val="0"/>
          <w:sz w:val="24"/>
          <w:szCs w:val="24"/>
          <w:u w:val="single"/>
          <w:lang w:val="en-US" w:eastAsia="zh-CN"/>
        </w:rPr>
        <w:t>交安工程专业分包</w:t>
      </w:r>
      <w:r>
        <w:rPr>
          <w:b w:val="0"/>
          <w:bCs w:val="0"/>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ascii="宋体" w:hAnsi="宋体" w:eastAsia="宋体" w:cs="宋体"/>
          <w:sz w:val="24"/>
          <w:szCs w:val="24"/>
          <w:highlight w:val="none"/>
        </w:rPr>
        <w:t>项目对安居城区40个交叉路口交安设施进行改造，其中十字路口22个，T型路口12个，路段过街6个；同时对安居城区25所学校路段交安设施改造；本次改造内容包括相交道路交叉口的交通标线、交通标志、电子警察和信号灯等。对安居城区41条道路不满足规范要求的市政道路消火栓进行增设、补建，对不满足规范要求“接市政消火栓的环状给水管网的管径不应小于DN150，枝状管网的管径不宜小于DN200”的市政给水管道进行更换，对滨江北路沿线两侧景观节点面积约12945平方米，用地红线范围内进行铺装、植物、坐凳、景墙、小品、环卫设施及照明等建设</w:t>
      </w:r>
      <w:r>
        <w:rPr>
          <w:rFonts w:hint="eastAsia" w:cs="Times New Roman"/>
          <w:b w:val="0"/>
          <w:bCs w:val="0"/>
          <w:color w:val="auto"/>
          <w:kern w:val="0"/>
          <w:sz w:val="24"/>
          <w:szCs w:val="20"/>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交安工程专业分包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8）。</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r>
        <w:rPr>
          <w:rFonts w:hint="eastAsia"/>
          <w:color w:val="auto"/>
          <w:highlight w:val="none"/>
          <w:u w:val="none"/>
          <w:lang w:eastAsia="zh-CN"/>
        </w:rPr>
        <w:t>，</w:t>
      </w:r>
      <w:r>
        <w:rPr>
          <w:rFonts w:hint="eastAsia"/>
          <w:b/>
          <w:bCs/>
          <w:color w:val="auto"/>
          <w:highlight w:val="none"/>
          <w:u w:val="none"/>
          <w:lang w:val="en-US" w:eastAsia="zh-CN"/>
        </w:rPr>
        <w:t>施工进度、质量及安全管理必须符合我司相关规定要求</w:t>
      </w:r>
      <w:r>
        <w:rPr>
          <w:b/>
          <w:bCs/>
          <w:color w:val="auto"/>
          <w:highlight w:val="none"/>
          <w:u w:val="none"/>
        </w:rPr>
        <w:t>。</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6B2971C9">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7B00C5B7">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lang w:val="en-US" w:eastAsia="zh-CN"/>
        </w:rPr>
        <w:t>市政工程施工总承包三级及其以上资质</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管理人员不低于1人，</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15351954.02元</w:t>
      </w:r>
      <w:r>
        <w:rPr>
          <w:rFonts w:hint="eastAsia" w:ascii="宋体" w:hAnsi="宋体" w:cs="Times New Roman" w:eastAsiaTheme="minorEastAsia"/>
          <w:b/>
          <w:bCs/>
          <w:kern w:val="0"/>
          <w:sz w:val="24"/>
          <w:szCs w:val="24"/>
          <w:highlight w:val="none"/>
          <w:lang w:val="en-US" w:eastAsia="zh-CN"/>
        </w:rPr>
        <w:t>(大写：壹仟伍佰叁拾伍万壹仟玖佰伍拾肆元零角贰分）</w:t>
      </w:r>
      <w:r>
        <w:rPr>
          <w:rFonts w:hint="eastAsia" w:ascii="宋体" w:hAnsi="宋体" w:cs="Times New Roman" w:eastAsiaTheme="minorEastAsia"/>
          <w:b w:val="0"/>
          <w:bCs/>
          <w:kern w:val="0"/>
          <w:sz w:val="24"/>
          <w:szCs w:val="24"/>
          <w:highlight w:val="none"/>
          <w:lang w:val="en-US" w:eastAsia="zh-CN"/>
        </w:rPr>
        <w:t>，以清单总价报下浮比例（详附件7），</w:t>
      </w:r>
      <w:r>
        <w:rPr>
          <w:rFonts w:hint="default" w:eastAsia="宋体"/>
          <w:color w:val="auto"/>
          <w:highlight w:val="none"/>
          <w:lang w:val="en-US" w:eastAsia="zh-CN"/>
        </w:rPr>
        <w:t>总价下浮</w:t>
      </w:r>
      <w:r>
        <w:rPr>
          <w:rFonts w:hint="eastAsia"/>
          <w:color w:val="auto"/>
          <w:highlight w:val="none"/>
          <w:lang w:val="en-US" w:eastAsia="zh-CN"/>
        </w:rPr>
        <w:t>12</w:t>
      </w:r>
      <w:r>
        <w:rPr>
          <w:rFonts w:hint="eastAsia" w:eastAsia="宋体"/>
          <w:color w:val="auto"/>
          <w:highlight w:val="none"/>
          <w:lang w:val="en-US" w:eastAsia="zh-CN"/>
        </w:rPr>
        <w:t>%作为最高限价，投标下浮率小于或等于</w:t>
      </w:r>
      <w:r>
        <w:rPr>
          <w:rFonts w:hint="eastAsia"/>
          <w:color w:val="auto"/>
          <w:highlight w:val="none"/>
          <w:lang w:val="en-US" w:eastAsia="zh-CN"/>
        </w:rPr>
        <w:t>12</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hint="eastAsia" w:ascii="宋体" w:hAnsi="宋体" w:cs="Times New Roman" w:eastAsiaTheme="minorEastAsia"/>
          <w:b w:val="0"/>
          <w:bCs/>
          <w:kern w:val="0"/>
          <w:sz w:val="24"/>
          <w:szCs w:val="24"/>
          <w:highlight w:val="none"/>
          <w:lang w:val="en-US" w:eastAsia="zh-CN"/>
        </w:rPr>
        <w:t>最终工程结算以业主审定工程量*分包中标单价为准</w:t>
      </w:r>
      <w:r>
        <w:rPr>
          <w:rFonts w:hint="eastAsia" w:ascii="宋体" w:hAnsi="宋体" w:cs="Times New Roman" w:eastAsiaTheme="minorEastAsia"/>
          <w:b w:val="0"/>
          <w:bCs/>
          <w:kern w:val="0"/>
          <w:sz w:val="24"/>
          <w:szCs w:val="24"/>
          <w:lang w:eastAsia="zh-CN"/>
        </w:rPr>
        <w:t>。</w:t>
      </w:r>
    </w:p>
    <w:p w14:paraId="058FC9FE">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rFonts w:hint="eastAsia" w:ascii="宋体" w:hAnsi="宋体" w:eastAsia="宋体" w:cs="宋体"/>
          <w:b/>
          <w:bCs/>
          <w:color w:val="auto"/>
          <w:kern w:val="0"/>
          <w:sz w:val="24"/>
          <w:szCs w:val="24"/>
          <w:highlight w:val="none"/>
          <w:u w:val="none"/>
          <w:shd w:val="clear" w:color="auto" w:fill="auto"/>
          <w:lang w:val="en-US" w:eastAsia="zh-CN"/>
        </w:rPr>
        <w:t>施工过程中新增、变更工程按业主或鹏安公司审定的已完成工程产值，再按鹏安公司控制价下浮率后的50%计入进度，随进度支付条款进行拨付，</w:t>
      </w:r>
      <w:r>
        <w:rPr>
          <w:b/>
          <w:bCs/>
          <w:color w:val="auto"/>
          <w:highlight w:val="none"/>
        </w:rPr>
        <w:t>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各投标单位须在2025年12月24日17时前向鹏安公司</w:t>
      </w:r>
      <w:r>
        <w:rPr>
          <w:rFonts w:hint="eastAsia" w:ascii="宋体" w:hAnsi="宋体" w:cs="Times New Roman" w:eastAsiaTheme="minorEastAsia"/>
          <w:b/>
          <w:bCs w:val="0"/>
          <w:kern w:val="0"/>
          <w:sz w:val="24"/>
          <w:szCs w:val="24"/>
          <w:highlight w:val="none"/>
          <w:lang w:val="en-US" w:eastAsia="zh-CN"/>
        </w:rPr>
        <w:t>缴纳招标控制价金额1%的投标保证金（具体详附件6，并提供转款凭证）</w:t>
      </w:r>
      <w:r>
        <w:rPr>
          <w:rFonts w:hint="eastAsia" w:ascii="宋体" w:hAnsi="宋体" w:cs="Times New Roman" w:eastAsiaTheme="minorEastAsia"/>
          <w:b w:val="0"/>
          <w:bCs/>
          <w:kern w:val="0"/>
          <w:sz w:val="24"/>
          <w:szCs w:val="24"/>
          <w:highlight w:val="none"/>
          <w:lang w:val="en-US" w:eastAsia="zh-CN"/>
        </w:rPr>
        <w:t>，公示中标后未中标单位7个工作日内原路退回，中标单位签订合同后原路退回。</w:t>
      </w:r>
      <w:r>
        <w:rPr>
          <w:rFonts w:hint="eastAsia" w:ascii="宋体" w:hAnsi="宋体" w:cs="Times New Roman" w:eastAsiaTheme="minorEastAsia"/>
          <w:b/>
          <w:bCs w:val="0"/>
          <w:kern w:val="0"/>
          <w:sz w:val="24"/>
          <w:szCs w:val="24"/>
          <w:highlight w:val="none"/>
          <w:lang w:val="en-US" w:eastAsia="zh-CN"/>
        </w:rPr>
        <w:t>若中标单位提供虚假资料或因自身原因放弃中标资格的，保证金不予退还。取消一次限制6个月参与投标，从放弃中标之日起计算。</w:t>
      </w:r>
      <w:r>
        <w:rPr>
          <w:rFonts w:hint="eastAsia" w:ascii="宋体" w:hAnsi="宋体" w:cs="Times New Roman" w:eastAsiaTheme="minorEastAsia"/>
          <w:b w:val="0"/>
          <w:bCs/>
          <w:kern w:val="0"/>
          <w:sz w:val="24"/>
          <w:szCs w:val="24"/>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Hans"/>
        </w:rPr>
        <w:t>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eastAsia="宋体" w:cs="宋体"/>
          <w:b w:val="0"/>
          <w:bCs w:val="0"/>
          <w:color w:val="auto"/>
          <w:sz w:val="24"/>
          <w:szCs w:val="24"/>
          <w:highlight w:val="none"/>
          <w:u w:val="single"/>
          <w:lang w:val="en-US" w:eastAsia="zh-CN"/>
        </w:rPr>
        <w:t xml:space="preserve"> 遂宁市鹏安投资有限公司 </w:t>
      </w:r>
      <w:r>
        <w:rPr>
          <w:rFonts w:hint="eastAsia" w:ascii="宋体" w:hAnsi="宋体" w:eastAsia="宋体" w:cs="宋体"/>
          <w:b w:val="0"/>
          <w:bCs w:val="0"/>
          <w:color w:val="auto"/>
          <w:sz w:val="24"/>
          <w:szCs w:val="24"/>
          <w:highlight w:val="none"/>
          <w:lang w:val="en-US" w:eastAsia="zh-CN"/>
        </w:rPr>
        <w:t>；</w:t>
      </w:r>
    </w:p>
    <w:p w14:paraId="7C1F1F86">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eastAsia="宋体" w:cs="宋体"/>
          <w:b w:val="0"/>
          <w:bCs w:val="0"/>
          <w:color w:val="auto"/>
          <w:sz w:val="24"/>
          <w:szCs w:val="24"/>
          <w:highlight w:val="none"/>
          <w:u w:val="single"/>
          <w:lang w:val="en-US" w:eastAsia="zh-CN"/>
        </w:rPr>
        <w:t xml:space="preserve"> 22320601040009472 </w:t>
      </w:r>
      <w:r>
        <w:rPr>
          <w:rFonts w:hint="eastAsia" w:ascii="宋体" w:hAnsi="宋体" w:eastAsia="宋体" w:cs="宋体"/>
          <w:b w:val="0"/>
          <w:bCs w:val="0"/>
          <w:color w:val="auto"/>
          <w:sz w:val="24"/>
          <w:szCs w:val="24"/>
          <w:highlight w:val="none"/>
          <w:lang w:val="en-US" w:eastAsia="zh-CN"/>
        </w:rPr>
        <w:t xml:space="preserve">；    </w:t>
      </w:r>
    </w:p>
    <w:p w14:paraId="208F03F7">
      <w:pPr>
        <w:widowControl/>
        <w:numPr>
          <w:ilvl w:val="0"/>
          <w:numId w:val="0"/>
        </w:numPr>
        <w:spacing w:line="360" w:lineRule="auto"/>
        <w:ind w:left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b w:val="0"/>
          <w:bCs w:val="0"/>
          <w:color w:val="auto"/>
          <w:sz w:val="24"/>
          <w:szCs w:val="24"/>
          <w:highlight w:val="none"/>
          <w:u w:val="single"/>
          <w:lang w:val="en-US" w:eastAsia="zh-CN"/>
        </w:rPr>
        <w:t xml:space="preserve">  中国农业银行安居支行 </w:t>
      </w:r>
      <w:r>
        <w:rPr>
          <w:rFonts w:hint="eastAsia" w:ascii="宋体" w:hAnsi="宋体" w:eastAsia="宋体" w:cs="宋体"/>
          <w:b w:val="0"/>
          <w:bCs w:val="0"/>
          <w:color w:val="auto"/>
          <w:sz w:val="24"/>
          <w:szCs w:val="24"/>
          <w:highlight w:val="none"/>
          <w:lang w:val="en-US" w:eastAsia="zh-CN"/>
        </w:rPr>
        <w:t>。</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中标单位需在中标公示期后5个工作日内缴纳中标金额的3%作为履约保证金（不接受保函）。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①工程费用按中标单价计算，最终工程结算以业主审定工程量*中标单价为准。工程费用包含人工费、材料费、机械费、措施费、劳保费、管理费、利润、辅材费、用工人员保险费、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eastAsia="宋体" w:cs="宋体"/>
          <w:color w:val="auto"/>
          <w:sz w:val="24"/>
          <w:szCs w:val="24"/>
          <w:highlight w:val="none"/>
          <w:lang w:val="en-US" w:eastAsia="zh-CN"/>
        </w:rPr>
        <w:t>变更的工程费用经业主认可的工程量乘以鹏安公司控制价下浮N%办理工程结算(N为该分包的中标下浮点)。施工过程中新增、变更工程按业主或鹏安公司审定的已完成工程产值，再按鹏安公司控制价下浮率后的50%计入进度，随进度支付条款进行拨付。</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市政工程施工总承包三级及其以上资质</w:t>
      </w:r>
      <w:r>
        <w:rPr>
          <w:color w:val="auto"/>
          <w:highlight w:val="none"/>
        </w:rPr>
        <w:t>；</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14696C2B">
      <w:pPr>
        <w:numPr>
          <w:ilvl w:val="0"/>
          <w:numId w:val="0"/>
        </w:numPr>
        <w:ind w:leftChars="200"/>
        <w:rPr>
          <w:rFonts w:hint="default"/>
          <w:highlight w:val="none"/>
          <w:lang w:val="en-US"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3492BE3">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上午10</w:t>
      </w:r>
      <w:r>
        <w:rPr>
          <w:rFonts w:hint="eastAsia" w:ascii="宋体" w:hAnsi="宋体" w:eastAsia="宋体" w:cs="宋体"/>
          <w:b/>
          <w:bCs/>
          <w:color w:val="auto"/>
          <w:sz w:val="24"/>
          <w:szCs w:val="24"/>
          <w:highlight w:val="none"/>
        </w:rPr>
        <w:t>点</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上午10点</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0825-8663232。</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5890F765">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投标保证金缴纳凭证；</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467F9F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080" w:bottom="1440" w:left="108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22</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val="en-US" w:eastAsia="zh-CN"/>
        </w:rPr>
        <w:t>市政工程施工总承包三级及其以上资质</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371755D2">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6FF92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054AB5B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00712FC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07FD82F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80AA65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分包单位项目相关管理人员证书注册单位与投标单位不做要求，但必须为本项目实施过程中实际现场管理人员，履行对应职责，否则将按照公司规定处罚。</w:t>
      </w:r>
    </w:p>
    <w:p w14:paraId="059EBE8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63DA7A81">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4488448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35CE10E5">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E14F2ED">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1.施工管理人员满足资格要求得2分,同时具备二级市政建造师和市政施工员或二级市政建造师和市政类中级职称或者市政施工员和市政类中级职称加2分，增加一名施工管理人员加2分，本项最高6分。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单位在近3年期间（2022年12月至今）,在遂宁市内（含区、县、乡）所承包的</w:t>
            </w:r>
            <w:r>
              <w:rPr>
                <w:rFonts w:hint="eastAsia" w:ascii="仿宋_GB2312" w:hAnsi="仿宋_GB2312" w:eastAsia="仿宋_GB2312" w:cs="仿宋_GB2312"/>
                <w:b/>
                <w:bCs/>
                <w:kern w:val="0"/>
                <w:sz w:val="24"/>
                <w:szCs w:val="24"/>
                <w:highlight w:val="none"/>
                <w:lang w:val="en-US" w:eastAsia="zh-CN" w:bidi="ar-SA"/>
              </w:rPr>
              <w:t>市政工程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①完成合同金额在200万元（含）-1000万元（不含）项目得5分，以竣工的时间和金额为准；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②完成合同金额在1000万元（含）-1530万元（不含）的项目得7分；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③完成合同金额在1530万元（含）以上项目得10分；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B3E137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21FFEBE">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附件六：  投标保证金缴纳凭证（附交易记录或截图或转款凭证等形式，并加盖单位公章）</w:t>
      </w:r>
    </w:p>
    <w:p w14:paraId="4B87163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default" w:ascii="仿宋_GB2312" w:hAnsi="仿宋_GB2312" w:eastAsia="仿宋_GB2312" w:cs="仿宋_GB2312"/>
          <w:b/>
          <w:bCs/>
          <w:kern w:val="0"/>
          <w:sz w:val="30"/>
          <w:szCs w:val="30"/>
          <w:highlight w:val="none"/>
          <w:lang w:val="en-US" w:eastAsia="zh-CN" w:bidi="ar-SA"/>
        </w:rPr>
      </w:pPr>
    </w:p>
    <w:tbl>
      <w:tblPr>
        <w:tblStyle w:val="9"/>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3128"/>
        <w:gridCol w:w="2958"/>
        <w:gridCol w:w="3613"/>
        <w:gridCol w:w="4121"/>
      </w:tblGrid>
      <w:tr w14:paraId="1A48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353"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51"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94"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rPr>
            </w:pPr>
            <w:r>
              <w:rPr>
                <w:rFonts w:hint="eastAsia" w:ascii="仿宋_GB2312" w:hAnsi="仿宋_GB2312" w:eastAsia="仿宋_GB2312" w:cs="仿宋_GB2312"/>
                <w:b/>
                <w:bCs/>
                <w:sz w:val="30"/>
                <w:szCs w:val="30"/>
                <w:highlight w:val="none"/>
                <w:lang w:val="en-US" w:eastAsia="zh-CN"/>
              </w:rPr>
              <w:t>控制价（元）</w:t>
            </w:r>
          </w:p>
        </w:tc>
        <w:tc>
          <w:tcPr>
            <w:tcW w:w="1214"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c>
          <w:tcPr>
            <w:tcW w:w="1385" w:type="pct"/>
            <w:noWrap w:val="0"/>
            <w:vAlign w:val="center"/>
          </w:tcPr>
          <w:p w14:paraId="74229C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备注</w:t>
            </w:r>
          </w:p>
        </w:tc>
      </w:tr>
      <w:tr w14:paraId="1AE1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353"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51"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交安工程专业分包</w:t>
            </w:r>
          </w:p>
        </w:tc>
        <w:tc>
          <w:tcPr>
            <w:tcW w:w="994"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15351954.02</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214"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highlight w:val="none"/>
                <w:lang w:val="en-US" w:eastAsia="zh-CN"/>
              </w:rPr>
            </w:pP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招标控制价金额1%：</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153519.54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385" w:type="pct"/>
            <w:noWrap w:val="0"/>
            <w:vAlign w:val="center"/>
          </w:tcPr>
          <w:p w14:paraId="612378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yellow"/>
                <w:u w:val="single"/>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shd w:val="clear" w:color="auto" w:fill="auto"/>
                <w:lang w:val="en-US" w:eastAsia="zh-CN"/>
                <w14:textFill>
                  <w14:solidFill>
                    <w14:schemeClr w14:val="tx1"/>
                  </w14:solidFill>
                </w14:textFill>
              </w:rPr>
              <w:t>若中标单位提供虚假资料或因自身原因放弃中标资格的，保证金不予退还。取消一次限制6个月参与投标，从放弃中标之日起计算。</w:t>
            </w:r>
          </w:p>
        </w:tc>
      </w:tr>
    </w:tbl>
    <w:p w14:paraId="1FDAB0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09AB8E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p>
    <w:p w14:paraId="4FD2220F">
      <w:pPr>
        <w:jc w:val="left"/>
        <w:rPr>
          <w:rFonts w:hint="eastAsia" w:ascii="仿宋_GB2312" w:hAnsi="仿宋_GB2312" w:eastAsia="仿宋_GB2312" w:cs="仿宋_GB2312"/>
          <w:b/>
          <w:bCs/>
          <w:kern w:val="0"/>
          <w:sz w:val="30"/>
          <w:szCs w:val="30"/>
          <w:highlight w:val="none"/>
          <w:lang w:val="en-US" w:eastAsia="zh-CN" w:bidi="ar-SA"/>
        </w:rPr>
        <w:sectPr>
          <w:pgSz w:w="16838" w:h="11906" w:orient="landscape"/>
          <w:pgMar w:top="1304" w:right="1080" w:bottom="1304"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016D303C">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附件七：</w:t>
      </w:r>
    </w:p>
    <w:p w14:paraId="21B8C8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遂宁市安居区老旧小区改造提升项目（国贸片区等老旧小区改造及配套设施—周边附属道路交安市政设施）</w:t>
      </w:r>
    </w:p>
    <w:p w14:paraId="6E0FCA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分包</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（第二次）</w:t>
      </w: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196"/>
        <w:gridCol w:w="2884"/>
        <w:gridCol w:w="5145"/>
        <w:gridCol w:w="2396"/>
      </w:tblGrid>
      <w:tr w14:paraId="4F17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421" w:type="pct"/>
            <w:noWrap w:val="0"/>
            <w:vAlign w:val="center"/>
          </w:tcPr>
          <w:p w14:paraId="0491E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74" w:type="pct"/>
            <w:noWrap w:val="0"/>
            <w:vAlign w:val="center"/>
          </w:tcPr>
          <w:p w14:paraId="67135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69" w:type="pct"/>
            <w:noWrap w:val="0"/>
            <w:vAlign w:val="center"/>
          </w:tcPr>
          <w:p w14:paraId="64697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729" w:type="pct"/>
            <w:noWrap w:val="0"/>
            <w:vAlign w:val="center"/>
          </w:tcPr>
          <w:p w14:paraId="62E63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805" w:type="pct"/>
            <w:noWrap w:val="0"/>
            <w:vAlign w:val="center"/>
          </w:tcPr>
          <w:p w14:paraId="03295048">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5673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421" w:type="pct"/>
            <w:noWrap w:val="0"/>
            <w:vAlign w:val="center"/>
          </w:tcPr>
          <w:p w14:paraId="48E07D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74" w:type="pct"/>
            <w:noWrap w:val="0"/>
            <w:vAlign w:val="center"/>
          </w:tcPr>
          <w:p w14:paraId="2F700C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交安工程专业分包</w:t>
            </w:r>
          </w:p>
        </w:tc>
        <w:tc>
          <w:tcPr>
            <w:tcW w:w="969" w:type="pct"/>
            <w:noWrap w:val="0"/>
            <w:vAlign w:val="center"/>
          </w:tcPr>
          <w:p w14:paraId="2FC576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729" w:type="pct"/>
            <w:noWrap w:val="0"/>
            <w:vAlign w:val="center"/>
          </w:tcPr>
          <w:p w14:paraId="0D44E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15351954.02元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p>
          <w:p w14:paraId="2BAB813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12%作为最高限价，投标下浮率小于或等于12%视为废标。</w:t>
            </w:r>
          </w:p>
          <w:p w14:paraId="150136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p>
        </w:tc>
        <w:tc>
          <w:tcPr>
            <w:tcW w:w="805" w:type="pct"/>
            <w:noWrap w:val="0"/>
            <w:vAlign w:val="center"/>
          </w:tcPr>
          <w:p w14:paraId="2A3D8ED8">
            <w:pPr>
              <w:jc w:val="center"/>
              <w:rPr>
                <w:rFonts w:hint="eastAsia" w:ascii="仿宋_GB2312" w:hAnsi="仿宋_GB2312" w:eastAsia="仿宋_GB2312" w:cs="仿宋_GB2312"/>
                <w:sz w:val="30"/>
                <w:szCs w:val="30"/>
                <w:highlight w:val="none"/>
              </w:rPr>
            </w:pPr>
            <w:bookmarkStart w:id="0" w:name="_GoBack"/>
            <w:bookmarkEnd w:id="0"/>
          </w:p>
        </w:tc>
      </w:tr>
    </w:tbl>
    <w:p w14:paraId="25E65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775F5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4332EBF"/>
    <w:multiLevelType w:val="singleLevel"/>
    <w:tmpl w:val="C4332EBF"/>
    <w:lvl w:ilvl="0" w:tentative="0">
      <w:start w:val="1"/>
      <w:numFmt w:val="decimal"/>
      <w:lvlText w:val="%1."/>
      <w:lvlJc w:val="left"/>
      <w:pPr>
        <w:ind w:left="425" w:hanging="425"/>
      </w:pPr>
      <w:rPr>
        <w:rFonts w:hint="default"/>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0D5AE2A9"/>
    <w:multiLevelType w:val="singleLevel"/>
    <w:tmpl w:val="0D5AE2A9"/>
    <w:lvl w:ilvl="0" w:tentative="0">
      <w:start w:val="1"/>
      <w:numFmt w:val="decimal"/>
      <w:lvlText w:val="%1."/>
      <w:lvlJc w:val="left"/>
      <w:pPr>
        <w:ind w:left="425" w:hanging="425"/>
      </w:pPr>
      <w:rPr>
        <w:rFonts w:hint="default"/>
      </w:r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4684C16"/>
    <w:multiLevelType w:val="singleLevel"/>
    <w:tmpl w:val="74684C16"/>
    <w:lvl w:ilvl="0" w:tentative="0">
      <w:start w:val="1"/>
      <w:numFmt w:val="decimalEnclosedCircleChinese"/>
      <w:suff w:val="nothing"/>
      <w:lvlText w:val="%1　"/>
      <w:lvlJc w:val="left"/>
      <w:pPr>
        <w:ind w:left="0" w:firstLine="40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2"/>
  </w:num>
  <w:num w:numId="3">
    <w:abstractNumId w:val="5"/>
  </w:num>
  <w:num w:numId="4">
    <w:abstractNumId w:val="12"/>
  </w:num>
  <w:num w:numId="5">
    <w:abstractNumId w:val="13"/>
  </w:num>
  <w:num w:numId="6">
    <w:abstractNumId w:val="6"/>
  </w:num>
  <w:num w:numId="7">
    <w:abstractNumId w:val="4"/>
  </w:num>
  <w:num w:numId="8">
    <w:abstractNumId w:val="3"/>
  </w:num>
  <w:num w:numId="9">
    <w:abstractNumId w:val="15"/>
  </w:num>
  <w:num w:numId="10">
    <w:abstractNumId w:val="14"/>
  </w:num>
  <w:num w:numId="11">
    <w:abstractNumId w:val="0"/>
  </w:num>
  <w:num w:numId="12">
    <w:abstractNumId w:val="1"/>
  </w:num>
  <w:num w:numId="13">
    <w:abstractNumId w:val="8"/>
  </w:num>
  <w:num w:numId="14">
    <w:abstractNumId w:val="11"/>
  </w:num>
  <w:num w:numId="15">
    <w:abstractNumId w:val="7"/>
  </w:num>
  <w:num w:numId="16">
    <w:abstractNumId w:val="10"/>
  </w:num>
  <w:num w:numId="17">
    <w:abstractNumId w:val="9"/>
  </w:num>
</w:numbering>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