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939D9">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遂宁市安居区老城区停车场建设项目二标段</w:t>
      </w:r>
    </w:p>
    <w:p w14:paraId="5B7D98D3">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顶管工程注浆及降水井专业分包</w:t>
      </w:r>
    </w:p>
    <w:p w14:paraId="42D272BD">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lang w:val="en-US" w:eastAsia="zh-CN"/>
        </w:rPr>
      </w:pPr>
      <w:r>
        <w:rPr>
          <w:rFonts w:hint="eastAsia"/>
          <w:highlight w:val="none"/>
          <w:lang w:val="en-US" w:eastAsia="zh-CN"/>
        </w:rPr>
        <w:t>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遂宁市安居区老城区停车场建设项目二标段</w:t>
      </w:r>
      <w:r>
        <w:rPr>
          <w:color w:val="auto"/>
          <w:highlight w:val="none"/>
        </w:rPr>
        <w:t>，现根据施工需要，对本项目工程进行</w:t>
      </w:r>
      <w:r>
        <w:rPr>
          <w:rFonts w:hint="eastAsia"/>
          <w:b/>
          <w:bCs/>
          <w:color w:val="auto"/>
          <w:highlight w:val="none"/>
          <w:u w:val="single"/>
          <w:lang w:val="en-US" w:eastAsia="zh-CN"/>
        </w:rPr>
        <w:t>顶管工程注浆及降水井专业分包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2E98EFE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kern w:val="0"/>
          <w:sz w:val="24"/>
          <w:highlight w:val="none"/>
          <w:lang w:val="en-US" w:eastAsia="zh-CN" w:bidi="ar-SA"/>
        </w:rPr>
        <w:t>新</w:t>
      </w:r>
      <w:r>
        <w:rPr>
          <w:rFonts w:hint="eastAsia" w:ascii="宋体" w:hAnsi="宋体" w:cs="Times New Roman" w:eastAsiaTheme="minorEastAsia"/>
          <w:b w:val="0"/>
          <w:bCs/>
          <w:kern w:val="0"/>
          <w:sz w:val="24"/>
          <w:szCs w:val="24"/>
          <w:highlight w:val="none"/>
          <w:lang w:val="en-US" w:eastAsia="zh-CN"/>
        </w:rPr>
        <w:t>建滨江南路污水主管网2.7公里及支管，沿线人行道及生态停车位、汽车充电桩建设。本工程注浆及降水井具体做法详附件6。</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cs="Times New Roman"/>
          <w:color w:val="auto"/>
          <w:kern w:val="0"/>
          <w:sz w:val="24"/>
          <w:highlight w:val="none"/>
          <w:lang w:val="en-US" w:eastAsia="zh-CN"/>
        </w:rPr>
        <w:t>招标范围：本</w:t>
      </w:r>
      <w:r>
        <w:rPr>
          <w:rFonts w:hint="eastAsia" w:cs="Times New Roman"/>
          <w:b w:val="0"/>
          <w:bCs w:val="0"/>
          <w:color w:val="auto"/>
          <w:kern w:val="0"/>
          <w:sz w:val="24"/>
          <w:szCs w:val="20"/>
          <w:highlight w:val="none"/>
          <w:lang w:val="en-US" w:eastAsia="zh-CN" w:bidi="ar-SA"/>
        </w:rPr>
        <w:t>项目建设期间根据施工需要对顶管（接收）井及顶管管段周围进行土体注浆加固及降水井施工</w:t>
      </w:r>
      <w:r>
        <w:rPr>
          <w:rFonts w:hint="eastAsia" w:ascii="Times New Roman" w:hAnsi="Times New Roman" w:eastAsia="宋体" w:cs="Times New Roman"/>
          <w:color w:val="auto"/>
          <w:kern w:val="2"/>
          <w:sz w:val="24"/>
          <w:highlight w:val="none"/>
          <w:lang w:val="en-US" w:eastAsia="zh-CN" w:bidi="ar-SA"/>
        </w:rPr>
        <w:t>。</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w:t>
      </w:r>
      <w:r>
        <w:rPr>
          <w:rFonts w:hint="eastAsia"/>
          <w:b/>
          <w:bCs/>
          <w:color w:val="auto"/>
          <w:highlight w:val="none"/>
          <w:u w:val="none"/>
          <w:lang w:val="en-US" w:eastAsia="zh-CN"/>
        </w:rPr>
        <w:t>随顶管施工进度</w:t>
      </w:r>
      <w:r>
        <w:rPr>
          <w:rFonts w:hint="eastAsia"/>
          <w:color w:val="auto"/>
          <w:highlight w:val="none"/>
          <w:u w:val="none"/>
          <w:lang w:val="en-US" w:eastAsia="zh-CN"/>
        </w:rPr>
        <w:t>。</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w:t>
      </w:r>
      <w:r>
        <w:rPr>
          <w:rFonts w:hint="eastAsia"/>
          <w:color w:val="auto"/>
          <w:highlight w:val="none"/>
          <w:u w:val="none"/>
          <w:lang w:val="en-US" w:eastAsia="zh-CN"/>
        </w:rPr>
        <w:t>顶管要求，不影响市政交通，不对周边造成污染</w:t>
      </w:r>
      <w:r>
        <w:rPr>
          <w:color w:val="auto"/>
          <w:highlight w:val="none"/>
          <w:u w:val="none"/>
        </w:rPr>
        <w:t>。</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lang w:val="en-US" w:eastAsia="zh-CN"/>
        </w:rPr>
        <w:t>市政公用工程施工总承包三级及其以上资质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cs="Times New Roman"/>
          <w:b/>
          <w:bCs/>
          <w:color w:val="auto"/>
          <w:highlight w:val="none"/>
          <w:u w:val="single"/>
          <w:lang w:val="en-US" w:eastAsia="zh-CN"/>
        </w:rPr>
        <w:t>1400000</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(大写：壹佰肆拾万元整）</w:t>
      </w:r>
      <w:r>
        <w:rPr>
          <w:rFonts w:hint="eastAsia" w:ascii="宋体" w:hAnsi="宋体" w:cs="Times New Roman" w:eastAsiaTheme="minorEastAsia"/>
          <w:b w:val="0"/>
          <w:bCs/>
          <w:kern w:val="0"/>
          <w:sz w:val="24"/>
          <w:szCs w:val="24"/>
          <w:highlight w:val="none"/>
          <w:lang w:val="en-US" w:eastAsia="zh-CN"/>
        </w:rPr>
        <w:t>，</w:t>
      </w:r>
      <w:r>
        <w:rPr>
          <w:rFonts w:hint="eastAsia" w:ascii="Times New Roman" w:hAnsi="Times New Roman" w:eastAsia="宋体" w:cs="Times New Roman"/>
          <w:color w:val="auto"/>
          <w:highlight w:val="none"/>
          <w:lang w:val="en-US" w:eastAsia="zh-CN"/>
        </w:rPr>
        <w:t>以单项报价</w:t>
      </w:r>
      <w:r>
        <w:rPr>
          <w:rFonts w:hint="eastAsia" w:ascii="Times New Roman" w:hAnsi="Times New Roman" w:eastAsia="宋体" w:cs="Times New Roman"/>
          <w:b w:val="0"/>
          <w:bCs w:val="0"/>
          <w:color w:val="auto"/>
          <w:highlight w:val="none"/>
          <w:lang w:val="en-US" w:eastAsia="zh-CN"/>
        </w:rPr>
        <w:t>为基础</w:t>
      </w:r>
      <w:r>
        <w:rPr>
          <w:rFonts w:hint="eastAsia" w:ascii="宋体" w:hAnsi="宋体" w:cs="Times New Roman" w:eastAsiaTheme="minorEastAsia"/>
          <w:b w:val="0"/>
          <w:bCs w:val="0"/>
          <w:kern w:val="0"/>
          <w:sz w:val="24"/>
          <w:szCs w:val="24"/>
          <w:highlight w:val="none"/>
          <w:lang w:val="en-US" w:eastAsia="zh-CN"/>
        </w:rPr>
        <w:t>（详附件6），</w:t>
      </w:r>
      <w:r>
        <w:rPr>
          <w:rFonts w:hint="eastAsia" w:cs="Times New Roman"/>
          <w:b w:val="0"/>
          <w:bCs w:val="0"/>
          <w:color w:val="auto"/>
          <w:highlight w:val="none"/>
          <w:lang w:val="en-US" w:eastAsia="zh-CN"/>
        </w:rPr>
        <w:t>超过控制价视为废</w:t>
      </w:r>
      <w:r>
        <w:rPr>
          <w:rFonts w:hint="eastAsia" w:cs="Times New Roman"/>
          <w:color w:val="auto"/>
          <w:highlight w:val="none"/>
          <w:lang w:val="en-US" w:eastAsia="zh-CN"/>
        </w:rPr>
        <w:t>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hint="eastAsia" w:ascii="宋体" w:hAnsi="宋体" w:cs="Times New Roman" w:eastAsiaTheme="minorEastAsia"/>
          <w:b w:val="0"/>
          <w:bCs/>
          <w:kern w:val="0"/>
          <w:sz w:val="24"/>
          <w:szCs w:val="24"/>
          <w:highlight w:val="none"/>
          <w:lang w:val="en-US" w:eastAsia="zh-CN"/>
        </w:rPr>
        <w:t>最终工程结算以业主审定工程量*分包中标单价为准</w:t>
      </w:r>
      <w:r>
        <w:rPr>
          <w:rFonts w:hint="eastAsia" w:ascii="宋体" w:hAnsi="宋体" w:cs="Times New Roman" w:eastAsiaTheme="minorEastAsia"/>
          <w:b w:val="0"/>
          <w:bCs/>
          <w:kern w:val="0"/>
          <w:sz w:val="24"/>
          <w:szCs w:val="24"/>
          <w:lang w:eastAsia="zh-CN"/>
        </w:rPr>
        <w:t>。</w:t>
      </w:r>
    </w:p>
    <w:p w14:paraId="29401E6C">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cs="Times New Roman"/>
          <w:b/>
          <w:bCs/>
          <w:color w:val="auto"/>
          <w:highlight w:val="none"/>
          <w:lang w:val="en-US" w:eastAsia="zh-CN"/>
        </w:rPr>
      </w:pPr>
      <w:r>
        <w:rPr>
          <w:rFonts w:hint="eastAsia" w:cs="Times New Roman"/>
          <w:b/>
          <w:bCs/>
          <w:color w:val="auto"/>
          <w:highlight w:val="none"/>
          <w:lang w:val="en-US" w:eastAsia="zh-CN"/>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97%；竣工结算审计结束后一个月内付余款（3%的质保金除外）（未支付部分不计息）。施工过程中</w:t>
      </w:r>
      <w:r>
        <w:rPr>
          <w:b/>
          <w:bCs/>
          <w:color w:val="auto"/>
          <w:highlight w:val="none"/>
        </w:rPr>
        <w:t>新增、变更工程按</w:t>
      </w:r>
      <w:r>
        <w:rPr>
          <w:rFonts w:hint="eastAsia"/>
          <w:b/>
          <w:bCs/>
          <w:color w:val="auto"/>
          <w:highlight w:val="none"/>
          <w:lang w:val="en-US" w:eastAsia="zh-CN"/>
        </w:rPr>
        <w:t>鹏安公司</w:t>
      </w:r>
      <w:r>
        <w:rPr>
          <w:b/>
          <w:bCs/>
          <w:color w:val="auto"/>
          <w:highlight w:val="none"/>
        </w:rPr>
        <w:t>审定的已完成工程</w:t>
      </w:r>
      <w:r>
        <w:rPr>
          <w:rFonts w:hint="eastAsia"/>
          <w:b/>
          <w:bCs/>
          <w:color w:val="auto"/>
          <w:highlight w:val="none"/>
          <w:lang w:val="en-US" w:eastAsia="zh-CN"/>
        </w:rPr>
        <w:t>产值的50%计入进度，随进度支付条款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6B327C1B">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0187D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综合总价最低</w:t>
      </w:r>
      <w:r>
        <w:rPr>
          <w:rFonts w:hint="default" w:ascii="Times New Roman" w:hAnsi="Times New Roman" w:eastAsia="宋体" w:cs="Times New Roman"/>
          <w:color w:val="auto"/>
          <w:kern w:val="2"/>
          <w:sz w:val="24"/>
          <w:highlight w:val="none"/>
          <w:u w:val="none"/>
          <w:lang w:val="en-US" w:eastAsia="zh-CN" w:bidi="ar-SA"/>
        </w:rPr>
        <w:t>的单位</w:t>
      </w:r>
      <w:r>
        <w:rPr>
          <w:rFonts w:hint="eastAsia" w:ascii="Times New Roman" w:hAnsi="Times New Roman" w:eastAsia="宋体" w:cs="Times New Roman"/>
          <w:color w:val="auto"/>
          <w:kern w:val="2"/>
          <w:sz w:val="24"/>
          <w:highlight w:val="none"/>
          <w:u w:val="none"/>
          <w:lang w:val="en-US" w:eastAsia="zh-CN" w:bidi="ar-SA"/>
        </w:rPr>
        <w:t>中选</w:t>
      </w:r>
      <w:r>
        <w:rPr>
          <w:rFonts w:hint="default" w:ascii="Times New Roman" w:hAnsi="Times New Roman" w:eastAsia="宋体" w:cs="Times New Roman"/>
          <w:color w:val="auto"/>
          <w:kern w:val="2"/>
          <w:sz w:val="24"/>
          <w:highlight w:val="none"/>
          <w:u w:val="none"/>
          <w:lang w:val="en-US" w:eastAsia="zh-CN" w:bidi="ar-SA"/>
        </w:rPr>
        <w:t>，</w:t>
      </w:r>
      <w:r>
        <w:rPr>
          <w:rFonts w:hint="eastAsia" w:ascii="Times New Roman" w:hAnsi="Times New Roman" w:eastAsia="宋体" w:cs="Times New Roman"/>
          <w:color w:val="auto"/>
          <w:kern w:val="2"/>
          <w:sz w:val="24"/>
          <w:highlight w:val="none"/>
          <w:u w:val="none"/>
          <w:lang w:val="en-US" w:eastAsia="zh-CN" w:bidi="ar-SA"/>
        </w:rPr>
        <w:t>超过控制价视为无效报价</w:t>
      </w:r>
      <w:r>
        <w:rPr>
          <w:rFonts w:hint="eastAsia" w:ascii="Times New Roman" w:hAnsi="Times New Roman" w:cs="Times New Roman"/>
          <w:color w:val="auto"/>
          <w:kern w:val="2"/>
          <w:sz w:val="24"/>
          <w:highlight w:val="none"/>
          <w:u w:val="none"/>
          <w:lang w:val="en-US" w:eastAsia="zh-CN" w:bidi="ar-SA"/>
        </w:rPr>
        <w:t>。（若出现两家及以上单位报价相同则采取抽乒乓球方式确定中选单位，抽取方式：在密闭箱内放入与参与抽取的比选申请人相同数量的乒乓球，且乒乓球在密闭箱中抓取号球，由抽到号球1的单位中选。</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3EFCBC47">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当综合总价最低的单位确定为</w:t>
      </w:r>
      <w:r>
        <w:rPr>
          <w:rFonts w:hint="eastAsia" w:ascii="宋体" w:hAnsi="宋体" w:cs="Times New Roman" w:eastAsiaTheme="minorEastAsia"/>
          <w:b w:val="0"/>
          <w:bCs/>
          <w:kern w:val="0"/>
          <w:sz w:val="24"/>
          <w:szCs w:val="24"/>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2540BE7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各投标单位须在2025年12月28日17时前向鹏安公司</w:t>
      </w:r>
      <w:r>
        <w:rPr>
          <w:rFonts w:hint="eastAsia" w:ascii="宋体" w:hAnsi="宋体" w:cs="Times New Roman" w:eastAsiaTheme="minorEastAsia"/>
          <w:b/>
          <w:bCs w:val="0"/>
          <w:kern w:val="0"/>
          <w:sz w:val="24"/>
          <w:szCs w:val="24"/>
          <w:highlight w:val="none"/>
          <w:lang w:val="en-US" w:eastAsia="zh-CN"/>
        </w:rPr>
        <w:t>缴纳招标控制价金额1%的投标保证金（具体详附件5，并提供转款凭证）</w:t>
      </w:r>
      <w:r>
        <w:rPr>
          <w:rFonts w:hint="eastAsia" w:ascii="宋体" w:hAnsi="宋体" w:cs="Times New Roman" w:eastAsiaTheme="minorEastAsia"/>
          <w:b w:val="0"/>
          <w:bCs/>
          <w:kern w:val="0"/>
          <w:sz w:val="24"/>
          <w:szCs w:val="24"/>
          <w:highlight w:val="none"/>
          <w:lang w:val="en-US" w:eastAsia="zh-CN"/>
        </w:rPr>
        <w:t>，公示中标后未中标单位7个工作日内原路退回，中标单位签订合同后原路退回。</w:t>
      </w:r>
      <w:r>
        <w:rPr>
          <w:rFonts w:hint="eastAsia" w:ascii="宋体" w:hAnsi="宋体" w:cs="Times New Roman" w:eastAsiaTheme="minorEastAsia"/>
          <w:b/>
          <w:bCs w:val="0"/>
          <w:kern w:val="0"/>
          <w:sz w:val="24"/>
          <w:szCs w:val="24"/>
          <w:highlight w:val="none"/>
          <w:lang w:val="en-US" w:eastAsia="zh-CN"/>
        </w:rPr>
        <w:t>若中标单位提供虚假资料或因自身原因放弃中标资格的，保证金不予退还。取消一次限制6个月参与投标，从放弃中标之日起计算。</w:t>
      </w:r>
      <w:r>
        <w:rPr>
          <w:rFonts w:hint="eastAsia" w:ascii="宋体" w:hAnsi="宋体" w:cs="Times New Roman" w:eastAsiaTheme="minorEastAsia"/>
          <w:b w:val="0"/>
          <w:bCs/>
          <w:kern w:val="0"/>
          <w:sz w:val="24"/>
          <w:szCs w:val="24"/>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Hans"/>
        </w:rPr>
        <w:t>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eastAsia="宋体" w:cs="宋体"/>
          <w:b w:val="0"/>
          <w:bCs w:val="0"/>
          <w:color w:val="auto"/>
          <w:sz w:val="24"/>
          <w:szCs w:val="24"/>
          <w:highlight w:val="none"/>
          <w:u w:val="single"/>
          <w:lang w:val="en-US" w:eastAsia="zh-CN"/>
        </w:rPr>
        <w:t xml:space="preserve"> 遂宁市鹏安投资有限公司 </w:t>
      </w:r>
      <w:r>
        <w:rPr>
          <w:rFonts w:hint="eastAsia" w:ascii="宋体" w:hAnsi="宋体" w:eastAsia="宋体" w:cs="宋体"/>
          <w:b w:val="0"/>
          <w:bCs w:val="0"/>
          <w:color w:val="auto"/>
          <w:sz w:val="24"/>
          <w:szCs w:val="24"/>
          <w:highlight w:val="none"/>
          <w:lang w:val="en-US" w:eastAsia="zh-CN"/>
        </w:rPr>
        <w:t>；</w:t>
      </w:r>
    </w:p>
    <w:p w14:paraId="159DCC5A">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eastAsia="宋体" w:cs="宋体"/>
          <w:b w:val="0"/>
          <w:bCs w:val="0"/>
          <w:color w:val="auto"/>
          <w:sz w:val="24"/>
          <w:szCs w:val="24"/>
          <w:highlight w:val="none"/>
          <w:u w:val="single"/>
          <w:lang w:val="en-US" w:eastAsia="zh-CN"/>
        </w:rPr>
        <w:t xml:space="preserve"> 22320601040009472 </w:t>
      </w:r>
      <w:r>
        <w:rPr>
          <w:rFonts w:hint="eastAsia" w:ascii="宋体" w:hAnsi="宋体" w:eastAsia="宋体" w:cs="宋体"/>
          <w:b w:val="0"/>
          <w:bCs w:val="0"/>
          <w:color w:val="auto"/>
          <w:sz w:val="24"/>
          <w:szCs w:val="24"/>
          <w:highlight w:val="none"/>
          <w:lang w:val="en-US" w:eastAsia="zh-CN"/>
        </w:rPr>
        <w:t xml:space="preserve">；    </w:t>
      </w:r>
    </w:p>
    <w:p w14:paraId="6646D251">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b w:val="0"/>
          <w:bCs w:val="0"/>
          <w:color w:val="auto"/>
          <w:sz w:val="24"/>
          <w:szCs w:val="24"/>
          <w:highlight w:val="none"/>
          <w:u w:val="single"/>
          <w:lang w:val="en-US" w:eastAsia="zh-CN"/>
        </w:rPr>
        <w:t xml:space="preserve">  中国农业银行安居支行 </w:t>
      </w:r>
      <w:r>
        <w:rPr>
          <w:rFonts w:hint="eastAsia" w:ascii="宋体" w:hAnsi="宋体" w:eastAsia="宋体" w:cs="宋体"/>
          <w:b w:val="0"/>
          <w:bCs w:val="0"/>
          <w:color w:val="auto"/>
          <w:sz w:val="24"/>
          <w:szCs w:val="24"/>
          <w:highlight w:val="none"/>
          <w:lang w:val="en-US" w:eastAsia="zh-CN"/>
        </w:rPr>
        <w:t>。</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w:t>
      </w:r>
      <w:r>
        <w:rPr>
          <w:rFonts w:hint="eastAsia" w:ascii="宋体" w:hAnsi="宋体" w:cs="Times New Roman" w:eastAsiaTheme="minorEastAsia"/>
          <w:b w:val="0"/>
          <w:bCs/>
          <w:kern w:val="0"/>
          <w:sz w:val="24"/>
          <w:szCs w:val="24"/>
          <w:lang w:val="en-US" w:eastAsia="zh-CN"/>
        </w:rPr>
        <w:t>工程费用按中标单价暂估，</w:t>
      </w:r>
      <w:r>
        <w:rPr>
          <w:rFonts w:hint="eastAsia" w:ascii="宋体" w:hAnsi="宋体" w:cs="Times New Roman" w:eastAsiaTheme="minorEastAsia"/>
          <w:b w:val="0"/>
          <w:bCs/>
          <w:kern w:val="0"/>
          <w:sz w:val="24"/>
          <w:szCs w:val="24"/>
          <w:highlight w:val="none"/>
          <w:lang w:val="en-US" w:eastAsia="zh-CN"/>
        </w:rPr>
        <w:t>最终工程结算以业主审定工程量*分包中标单价为准。工程费用包含人工费、材料费、机械费、措施费、劳保费、管理费、利润、辅材费、用工人员保险费、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变更的工程费用由乙方报价，经甲乙双方内部磋商，及</w:t>
      </w:r>
      <w:r>
        <w:rPr>
          <w:rFonts w:hint="eastAsia" w:ascii="宋体" w:hAnsi="宋体" w:cs="Times New Roman" w:eastAsiaTheme="minorEastAsia"/>
          <w:b w:val="0"/>
          <w:bCs/>
          <w:kern w:val="0"/>
          <w:sz w:val="24"/>
          <w:szCs w:val="24"/>
          <w:highlight w:val="none"/>
          <w:lang w:val="en-US" w:eastAsia="zh-CN"/>
        </w:rPr>
        <w:t>业主认可的工程量。</w:t>
      </w:r>
      <w:r>
        <w:rPr>
          <w:rFonts w:hint="eastAsia" w:ascii="宋体" w:hAnsi="宋体" w:cs="Times New Roman" w:eastAsiaTheme="minorEastAsia"/>
          <w:b w:val="0"/>
          <w:bCs/>
          <w:kern w:val="0"/>
          <w:sz w:val="24"/>
          <w:szCs w:val="24"/>
          <w:lang w:val="en-US" w:eastAsia="zh-CN"/>
        </w:rPr>
        <w:t>施工过程中新增、变更工程按鹏安公司审定的已完成工程产值的50%计入进度，随进度支付条款进行拨付。</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7"/>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3DDE4654">
      <w:pPr>
        <w:pStyle w:val="4"/>
        <w:numPr>
          <w:ilvl w:val="0"/>
          <w:numId w:val="8"/>
        </w:numPr>
        <w:ind w:left="0" w:leftChars="0" w:firstLine="480" w:firstLineChars="0"/>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市政公用工程施工总承包三级及其以上资质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1BB26503">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cs="Times New Roman"/>
          <w:color w:val="auto"/>
          <w:kern w:val="2"/>
          <w:sz w:val="24"/>
          <w:highlight w:val="none"/>
          <w:lang w:val="en-US" w:eastAsia="zh-CN" w:bidi="ar-SA"/>
        </w:rPr>
        <w:t>投标保证金缴纳凭证；</w:t>
      </w:r>
    </w:p>
    <w:p w14:paraId="14696C2B">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0"/>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0"/>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0"/>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0"/>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0"/>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890F765">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投标保证金缴纳凭证；</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bookmarkStart w:id="0" w:name="_GoBack"/>
      <w:bookmarkEnd w:id="0"/>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33A318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080" w:bottom="1440" w:left="108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25</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3"/>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4"/>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val="en-US" w:eastAsia="zh-CN"/>
        </w:rPr>
        <w:t>市政公用工程施工总承包三级及其以上资质</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64A2A43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0" w:type="dxa"/>
            <w:vAlign w:val="center"/>
          </w:tcPr>
          <w:p w14:paraId="4A8EB3C1">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5"/>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5"/>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3341581A">
            <w:pPr>
              <w:pStyle w:val="16"/>
              <w:spacing w:line="480" w:lineRule="auto"/>
              <w:jc w:val="center"/>
              <w:rPr>
                <w:rStyle w:val="15"/>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7CAB49F5">
            <w:pPr>
              <w:pStyle w:val="16"/>
              <w:spacing w:line="480" w:lineRule="auto"/>
              <w:jc w:val="center"/>
              <w:rPr>
                <w:rStyle w:val="1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3633048B">
            <w:pPr>
              <w:pStyle w:val="16"/>
              <w:spacing w:line="480" w:lineRule="auto"/>
              <w:jc w:val="center"/>
              <w:rPr>
                <w:rStyle w:val="15"/>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500A04CF">
            <w:pPr>
              <w:pStyle w:val="16"/>
              <w:spacing w:line="480" w:lineRule="auto"/>
              <w:jc w:val="center"/>
              <w:rPr>
                <w:rStyle w:val="15"/>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3E7882CE">
            <w:pPr>
              <w:pStyle w:val="16"/>
              <w:spacing w:line="480" w:lineRule="auto"/>
              <w:jc w:val="center"/>
              <w:rPr>
                <w:rStyle w:val="15"/>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6736E845">
            <w:pPr>
              <w:pStyle w:val="16"/>
              <w:spacing w:line="480" w:lineRule="auto"/>
              <w:jc w:val="center"/>
              <w:rPr>
                <w:rStyle w:val="15"/>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760BADDC">
            <w:pPr>
              <w:pStyle w:val="16"/>
              <w:spacing w:line="480" w:lineRule="auto"/>
              <w:jc w:val="center"/>
              <w:rPr>
                <w:rStyle w:val="15"/>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1112390E">
            <w:pPr>
              <w:pStyle w:val="16"/>
              <w:spacing w:line="480" w:lineRule="auto"/>
              <w:jc w:val="center"/>
              <w:rPr>
                <w:rStyle w:val="15"/>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39E6459D">
            <w:pPr>
              <w:pStyle w:val="16"/>
              <w:spacing w:line="480" w:lineRule="auto"/>
              <w:jc w:val="center"/>
              <w:rPr>
                <w:rStyle w:val="15"/>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49A4926E">
            <w:pPr>
              <w:pStyle w:val="16"/>
              <w:spacing w:line="480" w:lineRule="auto"/>
              <w:jc w:val="center"/>
              <w:rPr>
                <w:rStyle w:val="15"/>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6618CEBA">
            <w:pPr>
              <w:pStyle w:val="16"/>
              <w:spacing w:line="480" w:lineRule="auto"/>
              <w:jc w:val="center"/>
              <w:rPr>
                <w:rStyle w:val="15"/>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5"/>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5"/>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5"/>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5"/>
                <w:rFonts w:hint="eastAsia" w:ascii="宋体" w:hAnsi="宋体" w:eastAsia="宋体" w:cs="宋体"/>
                <w:color w:val="auto"/>
                <w:sz w:val="24"/>
                <w:szCs w:val="24"/>
                <w:highlight w:val="none"/>
              </w:rPr>
            </w:pPr>
          </w:p>
        </w:tc>
        <w:tc>
          <w:tcPr>
            <w:tcW w:w="3488" w:type="dxa"/>
            <w:vAlign w:val="center"/>
          </w:tcPr>
          <w:p w14:paraId="54968CAB">
            <w:pPr>
              <w:pStyle w:val="16"/>
              <w:spacing w:line="480" w:lineRule="auto"/>
              <w:jc w:val="center"/>
              <w:rPr>
                <w:rStyle w:val="15"/>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3352055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不低于1人，安全协管人员不低于1人</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EEB9A1">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7CDCE99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1CF959E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649562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的施工管理人员、安全协管人员等主要管理人员离开施工现场每月累计超过3天的，应通知施工项目部，并征得施工项目部书面同意。</w:t>
      </w:r>
    </w:p>
    <w:p w14:paraId="4AC59E7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的施工管理人员、安全协管人员若累计达到3次不在施工现场，发包人有权要求施工单位更换主要施工管理人员或解除施工合同，由此带来的损失全部由劳务方负责。</w:t>
      </w:r>
    </w:p>
    <w:p w14:paraId="2A49C65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按3000元/次/人进行处罚，施工管理人员、安全协管人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经项目部同意批准更换劳务项目管理人员，施工管理人员、安全协管人员每人次罚款2000元，项目其他管理人员1000元。</w:t>
      </w:r>
    </w:p>
    <w:p w14:paraId="5FBD7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21FFEBE">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 投标保证金缴纳凭证（附交易记录或截图或转款凭证等形式，并加盖单位公章）</w:t>
      </w:r>
    </w:p>
    <w:p w14:paraId="4B87163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仿宋_GB2312" w:hAnsi="仿宋_GB2312" w:eastAsia="仿宋_GB2312" w:cs="仿宋_GB2312"/>
          <w:b/>
          <w:bCs/>
          <w:kern w:val="0"/>
          <w:sz w:val="30"/>
          <w:szCs w:val="30"/>
          <w:highlight w:val="none"/>
          <w:lang w:val="en-US" w:eastAsia="zh-CN" w:bidi="ar-SA"/>
        </w:rPr>
      </w:pP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131"/>
        <w:gridCol w:w="3277"/>
        <w:gridCol w:w="3712"/>
        <w:gridCol w:w="3712"/>
      </w:tblGrid>
      <w:tr w14:paraId="7491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55"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51"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100"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控制价</w:t>
            </w:r>
          </w:p>
        </w:tc>
        <w:tc>
          <w:tcPr>
            <w:tcW w:w="1246"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c>
          <w:tcPr>
            <w:tcW w:w="1246" w:type="pct"/>
            <w:noWrap w:val="0"/>
            <w:vAlign w:val="center"/>
          </w:tcPr>
          <w:p w14:paraId="557581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val="en-US" w:eastAsia="zh-CN"/>
              </w:rPr>
            </w:pPr>
          </w:p>
          <w:p w14:paraId="14B915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备注</w:t>
            </w:r>
          </w:p>
        </w:tc>
      </w:tr>
      <w:tr w14:paraId="52CE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355"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51"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顶管工程注浆及降水井专业分包</w:t>
            </w:r>
          </w:p>
        </w:tc>
        <w:tc>
          <w:tcPr>
            <w:tcW w:w="1100"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1400000</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46"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招标控制价金额1%：</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14000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46" w:type="pct"/>
            <w:noWrap w:val="0"/>
            <w:vAlign w:val="center"/>
          </w:tcPr>
          <w:p w14:paraId="4D79D2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shd w:val="clear" w:color="auto" w:fill="auto"/>
                <w:lang w:val="en-US" w:eastAsia="zh-CN"/>
                <w14:textFill>
                  <w14:solidFill>
                    <w14:schemeClr w14:val="tx1"/>
                  </w14:solidFill>
                </w14:textFill>
              </w:rPr>
              <w:t>若中标单位提供虚假资料或因自身原因放弃中标资格的，保证金不予退还。取消一次限制6个月参与投标，从放弃中标之日起计算。</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w:t>
            </w:r>
          </w:p>
        </w:tc>
      </w:tr>
    </w:tbl>
    <w:p w14:paraId="1FDAB0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2DCC4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1D1522F7">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附件六：</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遂宁市安居区老城区停车场建设项目二标段</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p>
    <w:tbl>
      <w:tblPr>
        <w:tblStyle w:val="9"/>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1481"/>
        <w:gridCol w:w="2086"/>
        <w:gridCol w:w="976"/>
        <w:gridCol w:w="2995"/>
        <w:gridCol w:w="1481"/>
        <w:gridCol w:w="1481"/>
        <w:gridCol w:w="1481"/>
        <w:gridCol w:w="1481"/>
      </w:tblGrid>
      <w:tr w14:paraId="7B40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4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C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4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C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3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施工工艺</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5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暂定工程量（</w:t>
            </w:r>
            <w:r>
              <w:rPr>
                <w:rFonts w:hint="default" w:ascii="Times New Roman" w:hAnsi="Times New Roman" w:eastAsia="宋体" w:cs="Times New Roman"/>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4E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42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含税总价（元）</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D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0FE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6"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0D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D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深井降水</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BB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w:t>
            </w:r>
            <w:r>
              <w:rPr>
                <w:rFonts w:hint="default" w:ascii="Times New Roman" w:hAnsi="Times New Roman" w:eastAsia="宋体" w:cs="Times New Roman"/>
                <w:i w:val="0"/>
                <w:iCs w:val="0"/>
                <w:color w:val="000000"/>
                <w:kern w:val="0"/>
                <w:sz w:val="24"/>
                <w:szCs w:val="24"/>
                <w:u w:val="none"/>
                <w:lang w:val="en-US" w:eastAsia="zh-CN" w:bidi="ar"/>
              </w:rPr>
              <w:t>DN220*2.75</w:t>
            </w:r>
            <w:r>
              <w:rPr>
                <w:rFonts w:hint="eastAsia" w:ascii="宋体" w:hAnsi="宋体" w:eastAsia="宋体" w:cs="宋体"/>
                <w:i w:val="0"/>
                <w:iCs w:val="0"/>
                <w:color w:val="000000"/>
                <w:kern w:val="0"/>
                <w:sz w:val="24"/>
                <w:szCs w:val="24"/>
                <w:u w:val="none"/>
                <w:lang w:val="en-US" w:eastAsia="zh-CN" w:bidi="ar"/>
              </w:rPr>
              <w:t>钢质滤管，过滤网。</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45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2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A8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采用全液压履带式钻车将钢质滤管插入地底约</w:t>
            </w:r>
            <w:r>
              <w:rPr>
                <w:rFonts w:hint="default" w:ascii="Times New Roman" w:hAnsi="Times New Roman" w:eastAsia="宋体" w:cs="Times New Roman"/>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米，跟管钻进，钻孔同时出渣，渣土清理堆放等。</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2B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A58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0E2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287B">
            <w:pPr>
              <w:jc w:val="center"/>
              <w:rPr>
                <w:rFonts w:hint="eastAsia" w:ascii="宋体" w:hAnsi="宋体" w:eastAsia="宋体" w:cs="宋体"/>
                <w:i w:val="0"/>
                <w:iCs w:val="0"/>
                <w:color w:val="000000"/>
                <w:sz w:val="24"/>
                <w:szCs w:val="24"/>
                <w:u w:val="none"/>
              </w:rPr>
            </w:pPr>
          </w:p>
        </w:tc>
      </w:tr>
      <w:tr w14:paraId="615D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3B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2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土体加固注浆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E6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w:t>
            </w:r>
            <w:r>
              <w:rPr>
                <w:rFonts w:hint="default" w:ascii="Times New Roman" w:hAnsi="Times New Roman" w:eastAsia="宋体" w:cs="Times New Roman"/>
                <w:i w:val="0"/>
                <w:iCs w:val="0"/>
                <w:color w:val="000000"/>
                <w:kern w:val="0"/>
                <w:sz w:val="24"/>
                <w:szCs w:val="24"/>
                <w:u w:val="none"/>
                <w:lang w:val="en-US" w:eastAsia="zh-CN" w:bidi="ar"/>
              </w:rPr>
              <w:t>DN60*3.5</w:t>
            </w:r>
            <w:r>
              <w:rPr>
                <w:rFonts w:hint="eastAsia" w:ascii="宋体" w:hAnsi="宋体" w:eastAsia="宋体" w:cs="宋体"/>
                <w:i w:val="0"/>
                <w:iCs w:val="0"/>
                <w:color w:val="000000"/>
                <w:kern w:val="0"/>
                <w:sz w:val="24"/>
                <w:szCs w:val="24"/>
                <w:u w:val="none"/>
                <w:lang w:val="en-US" w:eastAsia="zh-CN" w:bidi="ar"/>
              </w:rPr>
              <w:t>注浆钢管，</w:t>
            </w:r>
            <w:r>
              <w:rPr>
                <w:rFonts w:hint="default" w:ascii="Times New Roman" w:hAnsi="Times New Roman" w:eastAsia="宋体" w:cs="Times New Roman"/>
                <w:i w:val="0"/>
                <w:iCs w:val="0"/>
                <w:color w:val="000000"/>
                <w:kern w:val="0"/>
                <w:sz w:val="24"/>
                <w:szCs w:val="24"/>
                <w:u w:val="none"/>
                <w:lang w:val="en-US" w:eastAsia="zh-CN" w:bidi="ar"/>
              </w:rPr>
              <w:t xml:space="preserve">42.5R </w:t>
            </w:r>
            <w:r>
              <w:rPr>
                <w:rFonts w:hint="eastAsia" w:ascii="宋体" w:hAnsi="宋体" w:eastAsia="宋体" w:cs="宋体"/>
                <w:i w:val="0"/>
                <w:iCs w:val="0"/>
                <w:color w:val="000000"/>
                <w:kern w:val="0"/>
                <w:sz w:val="24"/>
                <w:szCs w:val="24"/>
                <w:u w:val="none"/>
                <w:lang w:val="en-US" w:eastAsia="zh-CN" w:bidi="ar"/>
              </w:rPr>
              <w:t>袋装普通水泥。</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57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2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EC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采用全液压履带锚固钻车成孔约</w:t>
            </w: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米，后下注浆钢管，采用压浆机注入</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水泥浆。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26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3AF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5C2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FC59">
            <w:pPr>
              <w:jc w:val="center"/>
              <w:rPr>
                <w:rFonts w:hint="eastAsia" w:ascii="宋体" w:hAnsi="宋体" w:eastAsia="宋体" w:cs="宋体"/>
                <w:i w:val="0"/>
                <w:iCs w:val="0"/>
                <w:color w:val="000000"/>
                <w:sz w:val="24"/>
                <w:szCs w:val="24"/>
                <w:u w:val="none"/>
              </w:rPr>
            </w:pPr>
          </w:p>
        </w:tc>
      </w:tr>
      <w:tr w14:paraId="15D0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44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C9B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此综合单价包含人工费、主材费、辅材费、大小机械费、施工措施费、劳保费、管理费、利润、用工人员保险费、税金（9%增值税专用发票）、安全文明施工费、规费等一切费用，且质量需满足国家规范要求及设计图纸要求。</w:t>
            </w: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9">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0">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1">
    <w:nsid w:val="34719065"/>
    <w:multiLevelType w:val="singleLevel"/>
    <w:tmpl w:val="34719065"/>
    <w:lvl w:ilvl="0" w:tentative="0">
      <w:start w:val="1"/>
      <w:numFmt w:val="decimal"/>
      <w:lvlText w:val="%1."/>
      <w:lvlJc w:val="left"/>
      <w:pPr>
        <w:ind w:left="425" w:hanging="425"/>
      </w:pPr>
      <w:rPr>
        <w:rFonts w:hint="default"/>
      </w:rPr>
    </w:lvl>
  </w:abstractNum>
  <w:abstractNum w:abstractNumId="12">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3">
    <w:nsid w:val="689F2096"/>
    <w:multiLevelType w:val="singleLevel"/>
    <w:tmpl w:val="689F2096"/>
    <w:lvl w:ilvl="0" w:tentative="0">
      <w:start w:val="1"/>
      <w:numFmt w:val="decimal"/>
      <w:lvlText w:val="%1."/>
      <w:lvlJc w:val="left"/>
      <w:pPr>
        <w:ind w:left="425" w:hanging="425"/>
      </w:pPr>
      <w:rPr>
        <w:rFonts w:hint="default"/>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5"/>
  </w:num>
  <w:num w:numId="2">
    <w:abstractNumId w:val="11"/>
  </w:num>
  <w:num w:numId="3">
    <w:abstractNumId w:val="4"/>
  </w:num>
  <w:num w:numId="4">
    <w:abstractNumId w:val="9"/>
  </w:num>
  <w:num w:numId="5">
    <w:abstractNumId w:val="12"/>
  </w:num>
  <w:num w:numId="6">
    <w:abstractNumId w:val="5"/>
  </w:num>
  <w:num w:numId="7">
    <w:abstractNumId w:val="3"/>
  </w:num>
  <w:num w:numId="8">
    <w:abstractNumId w:val="2"/>
  </w:num>
  <w:num w:numId="9">
    <w:abstractNumId w:val="10"/>
  </w:num>
  <w:num w:numId="10">
    <w:abstractNumId w:val="14"/>
  </w:num>
  <w:num w:numId="11">
    <w:abstractNumId w:val="0"/>
  </w:num>
  <w:num w:numId="12">
    <w:abstractNumId w:val="1"/>
  </w:num>
  <w:num w:numId="13">
    <w:abstractNumId w:val="7"/>
  </w:num>
  <w:num w:numId="14">
    <w:abstractNumId w:val="8"/>
  </w:num>
  <w:num w:numId="15">
    <w:abstractNumId w:val="6"/>
  </w:num>
  <w:num w:numId="16">
    <w:abstractNumId w:val="13"/>
  </w:num>
</w:numbering>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